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A95FA5">
        <w:t>AN WG4 Meeting #98-</w:t>
      </w:r>
      <w:r w:rsidR="0037399D">
        <w:rPr>
          <w:rFonts w:hint="eastAsia"/>
        </w:rPr>
        <w:t>b</w:t>
      </w:r>
      <w:r w:rsidR="0037399D">
        <w:t>is-</w:t>
      </w:r>
      <w:r w:rsidR="00A95FA5">
        <w:t>e</w:t>
      </w:r>
      <w:r w:rsidR="00A95FA5">
        <w:tab/>
      </w:r>
      <w:r w:rsidR="00A95FA5">
        <w:tab/>
        <w:t>R4-21</w:t>
      </w:r>
      <w:r w:rsidR="00843FF2">
        <w:t>0</w:t>
      </w:r>
      <w:r w:rsidR="00D43D7A">
        <w:t>4864</w:t>
      </w:r>
      <w:bookmarkStart w:id="1" w:name="_GoBack"/>
      <w:bookmarkEnd w:id="1"/>
    </w:p>
    <w:p w:rsidR="00AD1856" w:rsidRDefault="008D228C">
      <w:pPr>
        <w:pStyle w:val="CH"/>
        <w:tabs>
          <w:tab w:val="clear" w:pos="7920"/>
        </w:tabs>
        <w:rPr>
          <w:b w:val="0"/>
        </w:rPr>
      </w:pPr>
      <w:r>
        <w:t xml:space="preserve">Electronic meeting, </w:t>
      </w:r>
      <w:r w:rsidR="0037399D">
        <w:t>12</w:t>
      </w:r>
      <w:r w:rsidR="00A95FA5">
        <w:rPr>
          <w:vertAlign w:val="superscript"/>
        </w:rPr>
        <w:t>th</w:t>
      </w:r>
      <w:r w:rsidR="00A95FA5">
        <w:t xml:space="preserve"> </w:t>
      </w:r>
      <w:r>
        <w:t>–</w:t>
      </w:r>
      <w:r w:rsidR="00A95FA5">
        <w:t xml:space="preserve"> </w:t>
      </w:r>
      <w:r w:rsidR="0037399D">
        <w:t>20</w:t>
      </w:r>
      <w:r w:rsidR="00AD1856">
        <w:rPr>
          <w:vertAlign w:val="superscript"/>
        </w:rPr>
        <w:t>th</w:t>
      </w:r>
      <w:r>
        <w:t xml:space="preserve"> </w:t>
      </w:r>
      <w:r w:rsidR="0037399D">
        <w:t>Apr</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ED43E0">
        <w:t>9.6</w:t>
      </w:r>
      <w:r w:rsidR="00ED43E0">
        <w:rPr>
          <w:rFonts w:hint="eastAsia"/>
        </w:rPr>
        <w:t>.</w:t>
      </w:r>
      <w:r w:rsidR="00991002">
        <w:t>3</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2" w:name="OLE_LINK1"/>
      <w:r w:rsidR="00D014DF">
        <w:rPr>
          <w:rFonts w:hint="eastAsia"/>
        </w:rPr>
        <w:t>F</w:t>
      </w:r>
      <w:r w:rsidR="00D014DF">
        <w:t>urther considerations on delta TIB and RIB simplification for band combinations</w:t>
      </w:r>
      <w:bookmarkEnd w:id="2"/>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B57417" w:rsidRDefault="00D014DF" w:rsidP="003252F6">
      <w:r>
        <w:t xml:space="preserve">In RAN4#98-e meeting, an issue related to the </w:t>
      </w:r>
      <w:r w:rsidR="00B57417">
        <w:t>Δ</w:t>
      </w:r>
      <w:r>
        <w:t>T</w:t>
      </w:r>
      <w:r w:rsidRPr="00B57417">
        <w:rPr>
          <w:vertAlign w:val="subscript"/>
        </w:rPr>
        <w:t>IB</w:t>
      </w:r>
      <w:r w:rsidR="00B57417">
        <w:rPr>
          <w:vertAlign w:val="subscript"/>
        </w:rPr>
        <w:t>,c</w:t>
      </w:r>
      <w:r>
        <w:t xml:space="preserve"> and </w:t>
      </w:r>
      <w:r w:rsidR="00B57417">
        <w:t>Δ</w:t>
      </w:r>
      <w:r>
        <w:t>R</w:t>
      </w:r>
      <w:r w:rsidRPr="00B57417">
        <w:rPr>
          <w:vertAlign w:val="subscript"/>
        </w:rPr>
        <w:t>IB</w:t>
      </w:r>
      <w:r w:rsidR="00B57417">
        <w:rPr>
          <w:vertAlign w:val="subscript"/>
        </w:rPr>
        <w:t>,c</w:t>
      </w:r>
      <w:r>
        <w:t xml:space="preserve"> table simplification for band combinations has been raised </w:t>
      </w:r>
      <w:r w:rsidR="00B57417">
        <w:t xml:space="preserve">in </w:t>
      </w:r>
      <w:r>
        <w:t>[1].</w:t>
      </w:r>
      <w:r w:rsidR="00D04885">
        <w:t xml:space="preserve"> </w:t>
      </w:r>
      <w:r w:rsidR="00B57417">
        <w:t>In the paper, the templates for the maximum configured output power relaxation ΔT</w:t>
      </w:r>
      <w:r w:rsidR="00B57417">
        <w:rPr>
          <w:vertAlign w:val="subscript"/>
        </w:rPr>
        <w:t>IB,c</w:t>
      </w:r>
      <w:r w:rsidR="00B57417">
        <w:t xml:space="preserve"> and reference sensitivity relaxation ΔR</w:t>
      </w:r>
      <w:r w:rsidR="00B57417">
        <w:rPr>
          <w:vertAlign w:val="subscript"/>
        </w:rPr>
        <w:t>IB,c</w:t>
      </w:r>
      <w:r w:rsidR="00B57417">
        <w:t xml:space="preserve"> due to the configurations have been discussed. From the templates in current RAN4 spec, we see that it is too </w:t>
      </w:r>
      <w:r w:rsidR="00FB337A">
        <w:t>cu</w:t>
      </w:r>
      <w:r w:rsidR="00E16EE0">
        <w:t>m</w:t>
      </w:r>
      <w:r w:rsidR="00FB337A">
        <w:t>bersome</w:t>
      </w:r>
      <w:r w:rsidR="00B57417">
        <w:t xml:space="preserve"> for each configuration </w:t>
      </w:r>
      <w:r w:rsidR="00DB02AE">
        <w:t xml:space="preserve">which </w:t>
      </w:r>
      <w:r w:rsidR="00B57417">
        <w:t>lists the ΔT</w:t>
      </w:r>
      <w:r w:rsidR="00B57417" w:rsidRPr="00B57417">
        <w:rPr>
          <w:vertAlign w:val="subscript"/>
        </w:rPr>
        <w:t>IB</w:t>
      </w:r>
      <w:r w:rsidR="00B57417">
        <w:rPr>
          <w:vertAlign w:val="subscript"/>
        </w:rPr>
        <w:t>,c</w:t>
      </w:r>
      <w:r w:rsidR="00B57417">
        <w:t xml:space="preserve"> and ΔR</w:t>
      </w:r>
      <w:r w:rsidR="00B57417" w:rsidRPr="00B57417">
        <w:rPr>
          <w:vertAlign w:val="subscript"/>
        </w:rPr>
        <w:t>IB</w:t>
      </w:r>
      <w:r w:rsidR="00B57417">
        <w:rPr>
          <w:vertAlign w:val="subscript"/>
        </w:rPr>
        <w:t>,c</w:t>
      </w:r>
      <w:r w:rsidR="00B57417">
        <w:t xml:space="preserve"> value in linear order </w:t>
      </w:r>
      <w:r w:rsidR="00DB02AE">
        <w:t>of</w:t>
      </w:r>
      <w:r w:rsidR="00B57417">
        <w:t xml:space="preserve"> the frequency band.</w:t>
      </w:r>
      <w:r w:rsidR="00DB02AE">
        <w:t xml:space="preserve"> Fig 1 shows an example for ΔT</w:t>
      </w:r>
      <w:r w:rsidR="00DB02AE" w:rsidRPr="00B57417">
        <w:rPr>
          <w:vertAlign w:val="subscript"/>
        </w:rPr>
        <w:t>IB</w:t>
      </w:r>
      <w:r w:rsidR="00DB02AE">
        <w:rPr>
          <w:vertAlign w:val="subscript"/>
        </w:rPr>
        <w:t>,c</w:t>
      </w:r>
      <w:r w:rsidR="00DB02AE">
        <w:t xml:space="preserve"> with five bands in TS 38.101-3, each configuration having five rows to indicate the ΔT</w:t>
      </w:r>
      <w:r w:rsidR="00DB02AE" w:rsidRPr="00B57417">
        <w:rPr>
          <w:vertAlign w:val="subscript"/>
        </w:rPr>
        <w:t>IB</w:t>
      </w:r>
      <w:r w:rsidR="00DB02AE">
        <w:rPr>
          <w:vertAlign w:val="subscript"/>
        </w:rPr>
        <w:t>,c</w:t>
      </w:r>
      <w:r w:rsidR="00DB02AE">
        <w:t xml:space="preserve"> values.</w:t>
      </w:r>
      <w:r w:rsidR="00104D38" w:rsidRPr="00104D38">
        <w:rPr>
          <w:rFonts w:hint="eastAsia"/>
        </w:rPr>
        <w:t xml:space="preserve"> </w:t>
      </w:r>
      <w:r w:rsidR="00104D38">
        <w:rPr>
          <w:rFonts w:hint="eastAsia"/>
        </w:rPr>
        <w:t>I</w:t>
      </w:r>
      <w:r w:rsidR="00104D38">
        <w:t>n [1], a simplification approach to the template was proposed as shown in Fig 2. However, during the online discussion, some companies raised concern on the proposal due to making readability poorer, although the motivation is understood</w:t>
      </w:r>
      <w:r w:rsidR="007F3C59">
        <w:t xml:space="preserve"> [2,3]</w:t>
      </w:r>
      <w:r w:rsidR="00104D38">
        <w:t>.</w:t>
      </w:r>
    </w:p>
    <w:p w:rsidR="00DB02AE" w:rsidRDefault="00DB02AE" w:rsidP="00DB02AE">
      <w:pPr>
        <w:pStyle w:val="TH"/>
        <w:rPr>
          <w:rFonts w:eastAsia="宋体"/>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977"/>
        <w:gridCol w:w="2977"/>
      </w:tblGrid>
      <w:tr w:rsidR="00DB02AE" w:rsidTr="0084757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2AE" w:rsidRDefault="00DB02AE" w:rsidP="0084757A">
            <w:pPr>
              <w:pStyle w:val="TAH"/>
              <w:rPr>
                <w:rFonts w:cs="Arial"/>
              </w:rPr>
            </w:pPr>
            <w:r>
              <w:t>Inter-band EN-DC configuration</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H"/>
              <w:rPr>
                <w:rFonts w:eastAsia="Malgun Gothic" w:cs="Arial"/>
              </w:rPr>
            </w:pPr>
            <w:r>
              <w:t>E-UTRA or NR Band</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H"/>
              <w:rPr>
                <w:rFonts w:eastAsia="Malgun Gothic" w:cs="Arial"/>
              </w:rPr>
            </w:pPr>
            <w:r>
              <w:t>ΔT</w:t>
            </w:r>
            <w:r>
              <w:rPr>
                <w:vertAlign w:val="subscript"/>
              </w:rPr>
              <w:t>IB,c</w:t>
            </w:r>
            <w:r>
              <w:t xml:space="preserve"> (dB)</w:t>
            </w:r>
          </w:p>
        </w:tc>
      </w:tr>
      <w:tr w:rsidR="00DB02AE" w:rsidTr="0084757A">
        <w:trPr>
          <w:trHeight w:val="187"/>
          <w:jc w:val="center"/>
        </w:trPr>
        <w:tc>
          <w:tcPr>
            <w:tcW w:w="2263" w:type="dxa"/>
            <w:tcBorders>
              <w:top w:val="single" w:sz="4" w:space="0" w:color="auto"/>
              <w:left w:val="single" w:sz="4" w:space="0" w:color="auto"/>
              <w:bottom w:val="nil"/>
              <w:right w:val="single" w:sz="4" w:space="0" w:color="auto"/>
            </w:tcBorders>
            <w:hideMark/>
          </w:tcPr>
          <w:p w:rsidR="00DB02AE" w:rsidRDefault="00DB02AE" w:rsidP="0084757A">
            <w:pPr>
              <w:pStyle w:val="TAC"/>
              <w:rPr>
                <w:rFonts w:eastAsia="宋体"/>
              </w:rPr>
            </w:pPr>
            <w:r>
              <w:t>DC_1-3-5-7_n78,</w:t>
            </w:r>
          </w:p>
          <w:p w:rsidR="00DB02AE" w:rsidRDefault="00DB02AE" w:rsidP="0084757A">
            <w:pPr>
              <w:pStyle w:val="TAC"/>
            </w:pPr>
            <w:r>
              <w:t>DC_1-3-5-7-7_n78</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1</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0.6</w:t>
            </w:r>
          </w:p>
        </w:tc>
      </w:tr>
      <w:tr w:rsidR="00DB02AE" w:rsidTr="0084757A">
        <w:trPr>
          <w:trHeight w:val="187"/>
          <w:jc w:val="center"/>
        </w:trPr>
        <w:tc>
          <w:tcPr>
            <w:tcW w:w="2263" w:type="dxa"/>
            <w:tcBorders>
              <w:top w:val="nil"/>
              <w:left w:val="single" w:sz="4" w:space="0" w:color="auto"/>
              <w:bottom w:val="nil"/>
              <w:right w:val="single" w:sz="4" w:space="0" w:color="auto"/>
            </w:tcBorders>
          </w:tcPr>
          <w:p w:rsidR="00DB02AE" w:rsidRDefault="00DB02AE" w:rsidP="0084757A">
            <w:pPr>
              <w:pStyle w:val="TAC"/>
            </w:pP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3</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0.6</w:t>
            </w:r>
          </w:p>
        </w:tc>
      </w:tr>
      <w:tr w:rsidR="00DB02AE" w:rsidTr="0084757A">
        <w:trPr>
          <w:trHeight w:val="187"/>
          <w:jc w:val="center"/>
        </w:trPr>
        <w:tc>
          <w:tcPr>
            <w:tcW w:w="2263" w:type="dxa"/>
            <w:tcBorders>
              <w:top w:val="nil"/>
              <w:left w:val="single" w:sz="4" w:space="0" w:color="auto"/>
              <w:bottom w:val="nil"/>
              <w:right w:val="single" w:sz="4" w:space="0" w:color="auto"/>
            </w:tcBorders>
          </w:tcPr>
          <w:p w:rsidR="00DB02AE" w:rsidRDefault="00DB02AE" w:rsidP="0084757A">
            <w:pPr>
              <w:pStyle w:val="TAC"/>
            </w:pP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5</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0.6</w:t>
            </w:r>
          </w:p>
        </w:tc>
      </w:tr>
      <w:tr w:rsidR="00DB02AE" w:rsidTr="0084757A">
        <w:trPr>
          <w:trHeight w:val="187"/>
          <w:jc w:val="center"/>
        </w:trPr>
        <w:tc>
          <w:tcPr>
            <w:tcW w:w="2263" w:type="dxa"/>
            <w:tcBorders>
              <w:top w:val="nil"/>
              <w:left w:val="single" w:sz="4" w:space="0" w:color="auto"/>
              <w:bottom w:val="nil"/>
              <w:right w:val="single" w:sz="4" w:space="0" w:color="auto"/>
            </w:tcBorders>
          </w:tcPr>
          <w:p w:rsidR="00DB02AE" w:rsidRDefault="00DB02AE" w:rsidP="0084757A">
            <w:pPr>
              <w:pStyle w:val="TAC"/>
            </w:pP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7</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0.6</w:t>
            </w:r>
          </w:p>
        </w:tc>
      </w:tr>
      <w:tr w:rsidR="00DB02AE" w:rsidTr="0084757A">
        <w:trPr>
          <w:trHeight w:val="187"/>
          <w:jc w:val="center"/>
        </w:trPr>
        <w:tc>
          <w:tcPr>
            <w:tcW w:w="2263" w:type="dxa"/>
            <w:tcBorders>
              <w:top w:val="nil"/>
              <w:left w:val="single" w:sz="4" w:space="0" w:color="auto"/>
              <w:bottom w:val="single" w:sz="4" w:space="0" w:color="auto"/>
              <w:right w:val="single" w:sz="4" w:space="0" w:color="auto"/>
            </w:tcBorders>
          </w:tcPr>
          <w:p w:rsidR="00DB02AE" w:rsidRDefault="00DB02AE" w:rsidP="0084757A">
            <w:pPr>
              <w:pStyle w:val="TAC"/>
            </w:pP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n78</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0.8</w:t>
            </w:r>
          </w:p>
        </w:tc>
      </w:tr>
      <w:tr w:rsidR="00DB02AE" w:rsidTr="0084757A">
        <w:trPr>
          <w:trHeight w:val="187"/>
          <w:jc w:val="center"/>
        </w:trPr>
        <w:tc>
          <w:tcPr>
            <w:tcW w:w="2263" w:type="dxa"/>
            <w:tcBorders>
              <w:top w:val="single" w:sz="4" w:space="0" w:color="auto"/>
              <w:left w:val="single" w:sz="4" w:space="0" w:color="auto"/>
              <w:bottom w:val="nil"/>
              <w:right w:val="single" w:sz="4" w:space="0" w:color="auto"/>
            </w:tcBorders>
            <w:hideMark/>
          </w:tcPr>
          <w:p w:rsidR="00DB02AE" w:rsidRDefault="00DB02AE" w:rsidP="0084757A">
            <w:pPr>
              <w:pStyle w:val="TAC"/>
            </w:pPr>
            <w:r>
              <w:t>DC_1-3-5-41_n79</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1</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0.5</w:t>
            </w:r>
          </w:p>
        </w:tc>
      </w:tr>
      <w:tr w:rsidR="00DB02AE" w:rsidTr="0084757A">
        <w:trPr>
          <w:trHeight w:val="187"/>
          <w:jc w:val="center"/>
        </w:trPr>
        <w:tc>
          <w:tcPr>
            <w:tcW w:w="2263" w:type="dxa"/>
            <w:tcBorders>
              <w:top w:val="nil"/>
              <w:left w:val="single" w:sz="4" w:space="0" w:color="auto"/>
              <w:bottom w:val="nil"/>
              <w:right w:val="single" w:sz="4" w:space="0" w:color="auto"/>
            </w:tcBorders>
          </w:tcPr>
          <w:p w:rsidR="00DB02AE" w:rsidRDefault="00DB02AE" w:rsidP="0084757A">
            <w:pPr>
              <w:pStyle w:val="TAC"/>
            </w:pP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3</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0.5</w:t>
            </w:r>
          </w:p>
        </w:tc>
      </w:tr>
      <w:tr w:rsidR="00DB02AE" w:rsidTr="0084757A">
        <w:trPr>
          <w:trHeight w:val="187"/>
          <w:jc w:val="center"/>
        </w:trPr>
        <w:tc>
          <w:tcPr>
            <w:tcW w:w="2263" w:type="dxa"/>
            <w:tcBorders>
              <w:top w:val="nil"/>
              <w:left w:val="single" w:sz="4" w:space="0" w:color="auto"/>
              <w:bottom w:val="nil"/>
              <w:right w:val="single" w:sz="4" w:space="0" w:color="auto"/>
            </w:tcBorders>
          </w:tcPr>
          <w:p w:rsidR="00DB02AE" w:rsidRDefault="00DB02AE" w:rsidP="0084757A">
            <w:pPr>
              <w:pStyle w:val="TAC"/>
            </w:pP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5</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0.3</w:t>
            </w:r>
          </w:p>
        </w:tc>
      </w:tr>
      <w:tr w:rsidR="00DB02AE" w:rsidTr="0084757A">
        <w:trPr>
          <w:trHeight w:val="187"/>
          <w:jc w:val="center"/>
        </w:trPr>
        <w:tc>
          <w:tcPr>
            <w:tcW w:w="2263" w:type="dxa"/>
            <w:tcBorders>
              <w:top w:val="nil"/>
              <w:left w:val="single" w:sz="4" w:space="0" w:color="auto"/>
              <w:bottom w:val="nil"/>
              <w:right w:val="single" w:sz="4" w:space="0" w:color="auto"/>
            </w:tcBorders>
          </w:tcPr>
          <w:p w:rsidR="00DB02AE" w:rsidRDefault="00DB02AE" w:rsidP="0084757A">
            <w:pPr>
              <w:pStyle w:val="TAC"/>
            </w:pPr>
          </w:p>
        </w:tc>
        <w:tc>
          <w:tcPr>
            <w:tcW w:w="2977" w:type="dxa"/>
            <w:tcBorders>
              <w:top w:val="single" w:sz="4" w:space="0" w:color="auto"/>
              <w:left w:val="nil"/>
              <w:bottom w:val="nil"/>
              <w:right w:val="single" w:sz="4" w:space="0" w:color="auto"/>
            </w:tcBorders>
            <w:hideMark/>
          </w:tcPr>
          <w:p w:rsidR="00DB02AE" w:rsidRDefault="00DB02AE" w:rsidP="0084757A">
            <w:pPr>
              <w:pStyle w:val="TAC"/>
            </w:pPr>
            <w:r>
              <w:t>41</w:t>
            </w: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0.5</w:t>
            </w:r>
            <w:r>
              <w:rPr>
                <w:vertAlign w:val="superscript"/>
              </w:rPr>
              <w:t>1</w:t>
            </w:r>
          </w:p>
        </w:tc>
      </w:tr>
      <w:tr w:rsidR="00DB02AE" w:rsidTr="0084757A">
        <w:trPr>
          <w:trHeight w:val="187"/>
          <w:jc w:val="center"/>
        </w:trPr>
        <w:tc>
          <w:tcPr>
            <w:tcW w:w="2263" w:type="dxa"/>
            <w:tcBorders>
              <w:top w:val="nil"/>
              <w:left w:val="single" w:sz="4" w:space="0" w:color="auto"/>
              <w:bottom w:val="single" w:sz="4" w:space="0" w:color="auto"/>
              <w:right w:val="single" w:sz="4" w:space="0" w:color="auto"/>
            </w:tcBorders>
          </w:tcPr>
          <w:p w:rsidR="00DB02AE" w:rsidRDefault="00DB02AE" w:rsidP="0084757A">
            <w:pPr>
              <w:pStyle w:val="TAC"/>
            </w:pPr>
          </w:p>
        </w:tc>
        <w:tc>
          <w:tcPr>
            <w:tcW w:w="2977" w:type="dxa"/>
            <w:tcBorders>
              <w:top w:val="nil"/>
              <w:left w:val="nil"/>
              <w:bottom w:val="single" w:sz="4" w:space="0" w:color="auto"/>
              <w:right w:val="single" w:sz="4" w:space="0" w:color="auto"/>
            </w:tcBorders>
          </w:tcPr>
          <w:p w:rsidR="00DB02AE" w:rsidRDefault="00DB02AE" w:rsidP="0084757A">
            <w:pPr>
              <w:pStyle w:val="TAC"/>
            </w:pPr>
          </w:p>
        </w:tc>
        <w:tc>
          <w:tcPr>
            <w:tcW w:w="2977" w:type="dxa"/>
            <w:tcBorders>
              <w:top w:val="single" w:sz="4" w:space="0" w:color="auto"/>
              <w:left w:val="nil"/>
              <w:bottom w:val="single" w:sz="4" w:space="0" w:color="auto"/>
              <w:right w:val="single" w:sz="4" w:space="0" w:color="auto"/>
            </w:tcBorders>
            <w:hideMark/>
          </w:tcPr>
          <w:p w:rsidR="00DB02AE" w:rsidRDefault="00DB02AE" w:rsidP="0084757A">
            <w:pPr>
              <w:pStyle w:val="TAC"/>
            </w:pPr>
            <w:r>
              <w:t>0.8</w:t>
            </w:r>
            <w:r>
              <w:rPr>
                <w:vertAlign w:val="superscript"/>
              </w:rPr>
              <w:t>2</w:t>
            </w:r>
          </w:p>
        </w:tc>
      </w:tr>
    </w:tbl>
    <w:p w:rsidR="00DB02AE" w:rsidRPr="00DB02AE" w:rsidRDefault="00DB02AE" w:rsidP="00DB02AE">
      <w:pPr>
        <w:spacing w:beforeLines="50" w:before="120" w:afterLines="50" w:after="120"/>
        <w:jc w:val="center"/>
        <w:rPr>
          <w:sz w:val="21"/>
          <w:szCs w:val="21"/>
        </w:rPr>
      </w:pPr>
      <w:r w:rsidRPr="00DB02AE">
        <w:rPr>
          <w:sz w:val="21"/>
          <w:szCs w:val="21"/>
        </w:rPr>
        <w:t>Fig 1 ΔT</w:t>
      </w:r>
      <w:r w:rsidRPr="00DB02AE">
        <w:rPr>
          <w:sz w:val="21"/>
          <w:szCs w:val="21"/>
          <w:vertAlign w:val="subscript"/>
        </w:rPr>
        <w:t>IB,c</w:t>
      </w:r>
      <w:r w:rsidRPr="00DB02AE">
        <w:rPr>
          <w:sz w:val="21"/>
          <w:szCs w:val="21"/>
        </w:rPr>
        <w:t xml:space="preserve"> template used in 38.101-3</w:t>
      </w:r>
    </w:p>
    <w:p w:rsidR="00E16EE0" w:rsidRDefault="00E16EE0" w:rsidP="00E16EE0">
      <w:pPr>
        <w:pStyle w:val="TH"/>
        <w:rPr>
          <w:rFonts w:eastAsia="宋体"/>
        </w:rPr>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1580"/>
        <w:gridCol w:w="1580"/>
        <w:gridCol w:w="1580"/>
        <w:gridCol w:w="1580"/>
        <w:gridCol w:w="1580"/>
      </w:tblGrid>
      <w:tr w:rsidR="00E16EE0" w:rsidTr="00E16EE0">
        <w:trPr>
          <w:trHeight w:val="187"/>
          <w:jc w:val="center"/>
        </w:trPr>
        <w:tc>
          <w:tcPr>
            <w:tcW w:w="1731" w:type="dxa"/>
            <w:tcBorders>
              <w:top w:val="single" w:sz="4" w:space="0" w:color="auto"/>
              <w:left w:val="single" w:sz="4" w:space="0" w:color="auto"/>
              <w:bottom w:val="single" w:sz="4" w:space="0" w:color="auto"/>
              <w:right w:val="single" w:sz="4" w:space="0" w:color="auto"/>
            </w:tcBorders>
            <w:hideMark/>
          </w:tcPr>
          <w:p w:rsidR="00E16EE0" w:rsidRDefault="00E16EE0">
            <w:pPr>
              <w:pStyle w:val="TAH"/>
              <w:rPr>
                <w:rFonts w:cs="Arial"/>
              </w:rPr>
            </w:pPr>
            <w:r>
              <w:t>Inter-band EN-DC configuration</w:t>
            </w:r>
          </w:p>
        </w:tc>
        <w:tc>
          <w:tcPr>
            <w:tcW w:w="7900" w:type="dxa"/>
            <w:gridSpan w:val="5"/>
            <w:tcBorders>
              <w:top w:val="single" w:sz="4" w:space="0" w:color="auto"/>
              <w:left w:val="nil"/>
              <w:bottom w:val="single" w:sz="4" w:space="0" w:color="auto"/>
              <w:right w:val="single" w:sz="4" w:space="0" w:color="auto"/>
            </w:tcBorders>
            <w:vAlign w:val="center"/>
            <w:hideMark/>
          </w:tcPr>
          <w:p w:rsidR="00E16EE0" w:rsidRDefault="00E16EE0">
            <w:pPr>
              <w:pStyle w:val="TAH"/>
              <w:rPr>
                <w:rFonts w:eastAsia="Malgun Gothic" w:cs="Arial"/>
              </w:rPr>
            </w:pPr>
            <w:r>
              <w:t>E-UTRA or NR Band / ΔT</w:t>
            </w:r>
            <w:r>
              <w:rPr>
                <w:vertAlign w:val="subscript"/>
              </w:rPr>
              <w:t>IB,c</w:t>
            </w:r>
            <w:r>
              <w:t xml:space="preserve"> (dB)</w:t>
            </w:r>
          </w:p>
        </w:tc>
      </w:tr>
      <w:tr w:rsidR="00E16EE0" w:rsidTr="00E16EE0">
        <w:trPr>
          <w:trHeight w:val="187"/>
          <w:jc w:val="center"/>
        </w:trPr>
        <w:tc>
          <w:tcPr>
            <w:tcW w:w="1731" w:type="dxa"/>
            <w:tcBorders>
              <w:top w:val="single" w:sz="4" w:space="0" w:color="auto"/>
              <w:left w:val="single" w:sz="4" w:space="0" w:color="auto"/>
              <w:bottom w:val="single" w:sz="4" w:space="0" w:color="auto"/>
              <w:right w:val="single" w:sz="4" w:space="0" w:color="auto"/>
            </w:tcBorders>
            <w:hideMark/>
          </w:tcPr>
          <w:p w:rsidR="00E16EE0" w:rsidRDefault="00E16EE0">
            <w:pPr>
              <w:pStyle w:val="TAC"/>
              <w:rPr>
                <w:rFonts w:eastAsia="宋体"/>
              </w:rPr>
            </w:pPr>
            <w:r>
              <w:t>DC_1-3-5-7_n78,</w:t>
            </w:r>
          </w:p>
          <w:p w:rsidR="00E16EE0" w:rsidRDefault="00E16EE0">
            <w:pPr>
              <w:pStyle w:val="TAC"/>
            </w:pPr>
            <w:r>
              <w:t>DC_1-3-5-7-7_n78</w:t>
            </w:r>
          </w:p>
        </w:tc>
        <w:tc>
          <w:tcPr>
            <w:tcW w:w="1580" w:type="dxa"/>
            <w:tcBorders>
              <w:top w:val="single" w:sz="4" w:space="0" w:color="auto"/>
              <w:left w:val="nil"/>
              <w:bottom w:val="single" w:sz="4" w:space="0" w:color="auto"/>
              <w:right w:val="single" w:sz="4" w:space="0" w:color="auto"/>
            </w:tcBorders>
            <w:vAlign w:val="center"/>
            <w:hideMark/>
          </w:tcPr>
          <w:p w:rsidR="00E16EE0" w:rsidRDefault="00E16EE0">
            <w:pPr>
              <w:pStyle w:val="TAC"/>
            </w:pPr>
            <w:r>
              <w:t>1 / 0.6</w:t>
            </w:r>
          </w:p>
        </w:tc>
        <w:tc>
          <w:tcPr>
            <w:tcW w:w="1580" w:type="dxa"/>
            <w:tcBorders>
              <w:top w:val="single" w:sz="4" w:space="0" w:color="auto"/>
              <w:left w:val="nil"/>
              <w:bottom w:val="single" w:sz="4" w:space="0" w:color="auto"/>
              <w:right w:val="single" w:sz="4" w:space="0" w:color="auto"/>
            </w:tcBorders>
            <w:vAlign w:val="center"/>
            <w:hideMark/>
          </w:tcPr>
          <w:p w:rsidR="00E16EE0" w:rsidRDefault="00E16EE0">
            <w:pPr>
              <w:pStyle w:val="TAC"/>
            </w:pPr>
            <w:r>
              <w:t>3 / 0.6</w:t>
            </w:r>
          </w:p>
        </w:tc>
        <w:tc>
          <w:tcPr>
            <w:tcW w:w="1580" w:type="dxa"/>
            <w:tcBorders>
              <w:top w:val="single" w:sz="4" w:space="0" w:color="auto"/>
              <w:left w:val="nil"/>
              <w:bottom w:val="single" w:sz="4" w:space="0" w:color="auto"/>
              <w:right w:val="single" w:sz="4" w:space="0" w:color="auto"/>
            </w:tcBorders>
            <w:vAlign w:val="center"/>
            <w:hideMark/>
          </w:tcPr>
          <w:p w:rsidR="00E16EE0" w:rsidRDefault="00E16EE0">
            <w:pPr>
              <w:pStyle w:val="TAC"/>
            </w:pPr>
            <w:r>
              <w:t>5 / 0.6</w:t>
            </w:r>
          </w:p>
        </w:tc>
        <w:tc>
          <w:tcPr>
            <w:tcW w:w="1580" w:type="dxa"/>
            <w:tcBorders>
              <w:top w:val="single" w:sz="4" w:space="0" w:color="auto"/>
              <w:left w:val="nil"/>
              <w:bottom w:val="single" w:sz="4" w:space="0" w:color="auto"/>
              <w:right w:val="single" w:sz="4" w:space="0" w:color="auto"/>
            </w:tcBorders>
            <w:vAlign w:val="center"/>
            <w:hideMark/>
          </w:tcPr>
          <w:p w:rsidR="00E16EE0" w:rsidRDefault="00E16EE0">
            <w:pPr>
              <w:pStyle w:val="TAC"/>
            </w:pPr>
            <w:r>
              <w:t>7 / 0.6</w:t>
            </w:r>
          </w:p>
        </w:tc>
        <w:tc>
          <w:tcPr>
            <w:tcW w:w="1580" w:type="dxa"/>
            <w:tcBorders>
              <w:top w:val="single" w:sz="4" w:space="0" w:color="auto"/>
              <w:left w:val="nil"/>
              <w:bottom w:val="single" w:sz="4" w:space="0" w:color="auto"/>
              <w:right w:val="single" w:sz="4" w:space="0" w:color="auto"/>
            </w:tcBorders>
            <w:vAlign w:val="center"/>
            <w:hideMark/>
          </w:tcPr>
          <w:p w:rsidR="00E16EE0" w:rsidRDefault="00E16EE0">
            <w:pPr>
              <w:pStyle w:val="TAC"/>
            </w:pPr>
            <w:r>
              <w:t>n78 / 0.8</w:t>
            </w:r>
          </w:p>
        </w:tc>
      </w:tr>
      <w:tr w:rsidR="00E16EE0" w:rsidTr="00E16EE0">
        <w:trPr>
          <w:trHeight w:val="187"/>
          <w:jc w:val="center"/>
        </w:trPr>
        <w:tc>
          <w:tcPr>
            <w:tcW w:w="1731" w:type="dxa"/>
            <w:tcBorders>
              <w:top w:val="single" w:sz="4" w:space="0" w:color="auto"/>
              <w:left w:val="single" w:sz="4" w:space="0" w:color="auto"/>
              <w:bottom w:val="single" w:sz="4" w:space="0" w:color="auto"/>
              <w:right w:val="single" w:sz="4" w:space="0" w:color="auto"/>
            </w:tcBorders>
            <w:hideMark/>
          </w:tcPr>
          <w:p w:rsidR="00E16EE0" w:rsidRDefault="00E16EE0">
            <w:pPr>
              <w:pStyle w:val="TAC"/>
            </w:pPr>
            <w:r>
              <w:t>DC_1-3-5-41_n79</w:t>
            </w:r>
          </w:p>
        </w:tc>
        <w:tc>
          <w:tcPr>
            <w:tcW w:w="1580" w:type="dxa"/>
            <w:tcBorders>
              <w:top w:val="single" w:sz="4" w:space="0" w:color="auto"/>
              <w:left w:val="nil"/>
              <w:bottom w:val="single" w:sz="4" w:space="0" w:color="auto"/>
              <w:right w:val="single" w:sz="4" w:space="0" w:color="auto"/>
            </w:tcBorders>
            <w:hideMark/>
          </w:tcPr>
          <w:p w:rsidR="00E16EE0" w:rsidRDefault="00E16EE0">
            <w:pPr>
              <w:pStyle w:val="TAC"/>
            </w:pPr>
            <w:r>
              <w:rPr>
                <w:rFonts w:hint="eastAsia"/>
              </w:rPr>
              <w:t>1</w:t>
            </w:r>
            <w:r>
              <w:t xml:space="preserve"> / 0.5</w:t>
            </w:r>
          </w:p>
        </w:tc>
        <w:tc>
          <w:tcPr>
            <w:tcW w:w="1580" w:type="dxa"/>
            <w:tcBorders>
              <w:top w:val="single" w:sz="4" w:space="0" w:color="auto"/>
              <w:left w:val="nil"/>
              <w:bottom w:val="single" w:sz="4" w:space="0" w:color="auto"/>
              <w:right w:val="single" w:sz="4" w:space="0" w:color="auto"/>
            </w:tcBorders>
            <w:hideMark/>
          </w:tcPr>
          <w:p w:rsidR="00E16EE0" w:rsidRDefault="00E16EE0">
            <w:pPr>
              <w:pStyle w:val="TAC"/>
            </w:pPr>
            <w:r>
              <w:rPr>
                <w:rFonts w:hint="eastAsia"/>
              </w:rPr>
              <w:t>3</w:t>
            </w:r>
            <w:r>
              <w:t xml:space="preserve"> / 0.5</w:t>
            </w:r>
          </w:p>
        </w:tc>
        <w:tc>
          <w:tcPr>
            <w:tcW w:w="1580" w:type="dxa"/>
            <w:tcBorders>
              <w:top w:val="single" w:sz="4" w:space="0" w:color="auto"/>
              <w:left w:val="nil"/>
              <w:bottom w:val="single" w:sz="4" w:space="0" w:color="auto"/>
              <w:right w:val="single" w:sz="4" w:space="0" w:color="auto"/>
            </w:tcBorders>
            <w:hideMark/>
          </w:tcPr>
          <w:p w:rsidR="00E16EE0" w:rsidRDefault="00E16EE0">
            <w:pPr>
              <w:pStyle w:val="TAC"/>
            </w:pPr>
            <w:r>
              <w:rPr>
                <w:rFonts w:hint="eastAsia"/>
              </w:rPr>
              <w:t>5</w:t>
            </w:r>
            <w:r>
              <w:t xml:space="preserve"> / 0.3</w:t>
            </w:r>
          </w:p>
        </w:tc>
        <w:tc>
          <w:tcPr>
            <w:tcW w:w="1580" w:type="dxa"/>
            <w:tcBorders>
              <w:top w:val="single" w:sz="4" w:space="0" w:color="auto"/>
              <w:left w:val="nil"/>
              <w:bottom w:val="single" w:sz="4" w:space="0" w:color="auto"/>
              <w:right w:val="single" w:sz="4" w:space="0" w:color="auto"/>
            </w:tcBorders>
            <w:hideMark/>
          </w:tcPr>
          <w:p w:rsidR="00E16EE0" w:rsidRDefault="00E16EE0">
            <w:pPr>
              <w:pStyle w:val="TAC"/>
            </w:pPr>
            <w:r>
              <w:rPr>
                <w:rFonts w:hint="eastAsia"/>
              </w:rPr>
              <w:t>4</w:t>
            </w:r>
            <w:r>
              <w:t>1 / 0.5</w:t>
            </w:r>
            <w:r>
              <w:rPr>
                <w:vertAlign w:val="superscript"/>
              </w:rPr>
              <w:t>1</w:t>
            </w:r>
            <w:r>
              <w:t>, 0.8</w:t>
            </w:r>
            <w:r>
              <w:rPr>
                <w:vertAlign w:val="superscript"/>
              </w:rPr>
              <w:t>2</w:t>
            </w:r>
          </w:p>
        </w:tc>
        <w:tc>
          <w:tcPr>
            <w:tcW w:w="1580" w:type="dxa"/>
            <w:tcBorders>
              <w:top w:val="single" w:sz="4" w:space="0" w:color="auto"/>
              <w:left w:val="nil"/>
              <w:bottom w:val="single" w:sz="4" w:space="0" w:color="auto"/>
              <w:right w:val="single" w:sz="4" w:space="0" w:color="auto"/>
            </w:tcBorders>
          </w:tcPr>
          <w:p w:rsidR="00E16EE0" w:rsidRDefault="00E16EE0">
            <w:pPr>
              <w:pStyle w:val="TAC"/>
            </w:pPr>
          </w:p>
        </w:tc>
      </w:tr>
    </w:tbl>
    <w:p w:rsidR="00E16EE0" w:rsidRPr="00E16EE0" w:rsidRDefault="00E16EE0" w:rsidP="00E16EE0">
      <w:pPr>
        <w:spacing w:beforeLines="50" w:before="120" w:afterLines="50" w:after="120"/>
        <w:jc w:val="center"/>
        <w:rPr>
          <w:sz w:val="21"/>
          <w:szCs w:val="21"/>
        </w:rPr>
      </w:pPr>
      <w:r>
        <w:rPr>
          <w:sz w:val="21"/>
          <w:szCs w:val="21"/>
        </w:rPr>
        <w:t>Fig 2</w:t>
      </w:r>
      <w:r w:rsidRPr="00E16EE0">
        <w:rPr>
          <w:sz w:val="21"/>
          <w:szCs w:val="21"/>
        </w:rPr>
        <w:t xml:space="preserve"> </w:t>
      </w:r>
      <w:r w:rsidR="005F0E07">
        <w:rPr>
          <w:sz w:val="21"/>
          <w:szCs w:val="21"/>
        </w:rPr>
        <w:t>An e</w:t>
      </w:r>
      <w:r w:rsidRPr="00E16EE0">
        <w:rPr>
          <w:sz w:val="21"/>
          <w:szCs w:val="21"/>
        </w:rPr>
        <w:t xml:space="preserve">xample </w:t>
      </w:r>
      <w:r w:rsidR="005F0E07">
        <w:rPr>
          <w:sz w:val="21"/>
          <w:szCs w:val="21"/>
        </w:rPr>
        <w:t xml:space="preserve">proposed in [1] </w:t>
      </w:r>
      <w:r w:rsidRPr="00E16EE0">
        <w:rPr>
          <w:sz w:val="21"/>
          <w:szCs w:val="21"/>
        </w:rPr>
        <w:t>for simplification on ΔT</w:t>
      </w:r>
      <w:r w:rsidRPr="00E16EE0">
        <w:rPr>
          <w:sz w:val="21"/>
          <w:szCs w:val="21"/>
          <w:vertAlign w:val="subscript"/>
        </w:rPr>
        <w:t>IB,c</w:t>
      </w:r>
    </w:p>
    <w:p w:rsidR="002B6A0F" w:rsidRDefault="002B6A0F">
      <w:pPr>
        <w:spacing w:before="0" w:beforeAutospacing="0" w:after="0"/>
      </w:pPr>
      <w:r>
        <w:br w:type="page"/>
      </w:r>
    </w:p>
    <w:p w:rsidR="00E16EE0" w:rsidRPr="00104D38" w:rsidRDefault="00104D38" w:rsidP="003252F6">
      <w:r>
        <w:rPr>
          <w:rFonts w:hint="eastAsia"/>
        </w:rPr>
        <w:lastRenderedPageBreak/>
        <w:t>B</w:t>
      </w:r>
      <w:r>
        <w:t>ased on the discussion, a WF on simplification on ΔT</w:t>
      </w:r>
      <w:r w:rsidRPr="00B57417">
        <w:rPr>
          <w:vertAlign w:val="subscript"/>
        </w:rPr>
        <w:t>IB</w:t>
      </w:r>
      <w:r>
        <w:rPr>
          <w:vertAlign w:val="subscript"/>
        </w:rPr>
        <w:t>,c</w:t>
      </w:r>
      <w:r>
        <w:t xml:space="preserve"> and ΔR</w:t>
      </w:r>
      <w:r w:rsidRPr="00B57417">
        <w:rPr>
          <w:vertAlign w:val="subscript"/>
        </w:rPr>
        <w:t>IB</w:t>
      </w:r>
      <w:r>
        <w:rPr>
          <w:vertAlign w:val="subscript"/>
        </w:rPr>
        <w:t xml:space="preserve">,c </w:t>
      </w:r>
      <w:r>
        <w:t xml:space="preserve">tables for band combinations have been approved in [2] with the following </w:t>
      </w:r>
      <w:r w:rsidR="008D0837">
        <w:t>suggestion</w:t>
      </w:r>
      <w:r w:rsidR="005F0E07">
        <w:t>s</w:t>
      </w:r>
      <w:r>
        <w:t>.</w:t>
      </w:r>
    </w:p>
    <w:p w:rsidR="0084757A" w:rsidRPr="00104D38" w:rsidRDefault="0084757A" w:rsidP="00104D38">
      <w:pPr>
        <w:numPr>
          <w:ilvl w:val="0"/>
          <w:numId w:val="24"/>
        </w:numPr>
      </w:pPr>
      <w:r w:rsidRPr="00104D38">
        <w:t>Companies are encouraged to share their views on the following options in the next meeting.</w:t>
      </w:r>
    </w:p>
    <w:p w:rsidR="0084757A" w:rsidRDefault="0084757A" w:rsidP="00104D38">
      <w:pPr>
        <w:numPr>
          <w:ilvl w:val="1"/>
          <w:numId w:val="24"/>
        </w:numPr>
      </w:pPr>
      <w:r w:rsidRPr="00104D38">
        <w:t>Option 1</w:t>
      </w:r>
    </w:p>
    <w:p w:rsidR="007D6E06" w:rsidRPr="00104D38" w:rsidRDefault="007D6E06" w:rsidP="00104D38">
      <w:pPr>
        <w:ind w:left="1440"/>
      </w:pPr>
      <w:r>
        <w:rPr>
          <w:rFonts w:hint="eastAsia"/>
          <w:noProof/>
        </w:rPr>
        <w:drawing>
          <wp:inline distT="0" distB="0" distL="0" distR="0">
            <wp:extent cx="4165600" cy="800115"/>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6021" cy="813641"/>
                    </a:xfrm>
                    <a:prstGeom prst="rect">
                      <a:avLst/>
                    </a:prstGeom>
                    <a:noFill/>
                    <a:ln>
                      <a:noFill/>
                    </a:ln>
                  </pic:spPr>
                </pic:pic>
              </a:graphicData>
            </a:graphic>
          </wp:inline>
        </w:drawing>
      </w:r>
    </w:p>
    <w:p w:rsidR="0084757A" w:rsidRDefault="0084757A" w:rsidP="00104D38">
      <w:pPr>
        <w:numPr>
          <w:ilvl w:val="1"/>
          <w:numId w:val="24"/>
        </w:numPr>
      </w:pPr>
      <w:r w:rsidRPr="00104D38">
        <w:t>Option 2</w:t>
      </w:r>
    </w:p>
    <w:p w:rsidR="00104D38" w:rsidRPr="00104D38" w:rsidRDefault="00104D38" w:rsidP="00104D38">
      <w:pPr>
        <w:ind w:left="1440"/>
      </w:pPr>
      <w:r w:rsidRPr="00104D38">
        <w:rPr>
          <w:noProof/>
        </w:rPr>
        <w:drawing>
          <wp:inline distT="0" distB="0" distL="0" distR="0" wp14:anchorId="7F8F9D24" wp14:editId="7E8F04F8">
            <wp:extent cx="4178300" cy="1174750"/>
            <wp:effectExtent l="0" t="0" r="0" b="6350"/>
            <wp:docPr id="5" name="図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FDD7C236-BE54-4411-B72B-D71E13B3506D}"/>
                </a:ext>
              </a:extLst>
            </wp:docPr>
            <wp:cNvGraphicFramePr/>
            <a:graphic xmlns:a="http://schemas.openxmlformats.org/drawingml/2006/main">
              <a:graphicData uri="http://schemas.openxmlformats.org/drawingml/2006/picture">
                <pic:pic xmlns:pic="http://schemas.openxmlformats.org/drawingml/2006/picture">
                  <pic:nvPicPr>
                    <pic:cNvPr id="6" name="図 6">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FDD7C236-BE54-4411-B72B-D71E13B3506D}"/>
                        </a:ext>
                      </a:extLst>
                    </pic:cNvPr>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178919" cy="1174924"/>
                    </a:xfrm>
                    <a:prstGeom prst="rect">
                      <a:avLst/>
                    </a:prstGeom>
                    <a:noFill/>
                    <a:ln>
                      <a:noFill/>
                    </a:ln>
                  </pic:spPr>
                </pic:pic>
              </a:graphicData>
            </a:graphic>
          </wp:inline>
        </w:drawing>
      </w:r>
    </w:p>
    <w:p w:rsidR="0084757A" w:rsidRPr="00104D38" w:rsidRDefault="0084757A" w:rsidP="00104D38">
      <w:pPr>
        <w:numPr>
          <w:ilvl w:val="1"/>
          <w:numId w:val="24"/>
        </w:numPr>
      </w:pPr>
      <w:r w:rsidRPr="00104D38">
        <w:t>Note that other options are not precluded.</w:t>
      </w:r>
    </w:p>
    <w:p w:rsidR="00A97026" w:rsidRDefault="0084757A" w:rsidP="00A97026">
      <w:r>
        <w:rPr>
          <w:rFonts w:hint="eastAsia"/>
        </w:rPr>
        <w:t>I</w:t>
      </w:r>
      <w:r>
        <w:t xml:space="preserve">n this paper, </w:t>
      </w:r>
      <w:r w:rsidR="00A97026">
        <w:t xml:space="preserve">we’d like to </w:t>
      </w:r>
      <w:r w:rsidR="00F015FF">
        <w:rPr>
          <w:rFonts w:hint="eastAsia"/>
        </w:rPr>
        <w:t>s</w:t>
      </w:r>
      <w:r w:rsidR="00F015FF">
        <w:t>hare our views</w:t>
      </w:r>
      <w:r w:rsidR="00A97026">
        <w:t xml:space="preserve"> </w:t>
      </w:r>
      <w:r w:rsidR="00F015FF">
        <w:t xml:space="preserve">on </w:t>
      </w:r>
      <w:r w:rsidR="00A97026">
        <w:t>the simplifications for reference sensitivity and maximum configured output power relaxation due to support for CA or DC configurations. An optimized template for ΔT</w:t>
      </w:r>
      <w:r w:rsidR="00A97026" w:rsidRPr="00B57417">
        <w:rPr>
          <w:vertAlign w:val="subscript"/>
        </w:rPr>
        <w:t>IB</w:t>
      </w:r>
      <w:r w:rsidR="00A97026">
        <w:rPr>
          <w:vertAlign w:val="subscript"/>
        </w:rPr>
        <w:t>,c</w:t>
      </w:r>
      <w:r w:rsidR="00A97026">
        <w:t xml:space="preserve"> and ΔR</w:t>
      </w:r>
      <w:r w:rsidR="00A97026" w:rsidRPr="00B57417">
        <w:rPr>
          <w:vertAlign w:val="subscript"/>
        </w:rPr>
        <w:t>IB</w:t>
      </w:r>
      <w:r w:rsidR="00A97026">
        <w:rPr>
          <w:vertAlign w:val="subscript"/>
        </w:rPr>
        <w:t xml:space="preserve">,c </w:t>
      </w:r>
      <w:r w:rsidR="00A97026">
        <w:t xml:space="preserve">tables for band combinations </w:t>
      </w:r>
      <w:r w:rsidR="00C434B1">
        <w:t>is</w:t>
      </w:r>
      <w:r w:rsidR="00A97026">
        <w:t xml:space="preserve"> proposed. </w:t>
      </w:r>
      <w:r w:rsidR="005F0E07">
        <w:t xml:space="preserve">Furthermore, the paper also provides a suggestion </w:t>
      </w:r>
      <w:r w:rsidR="00687569">
        <w:t xml:space="preserve">on </w:t>
      </w:r>
      <w:r w:rsidR="005F0E07">
        <w:t>timetable for applying the optimized template.</w:t>
      </w:r>
    </w:p>
    <w:p w:rsidR="00A97026" w:rsidRDefault="00A97026" w:rsidP="00A97026">
      <w:pPr>
        <w:pStyle w:val="1"/>
        <w:numPr>
          <w:ilvl w:val="0"/>
          <w:numId w:val="23"/>
        </w:numPr>
        <w:rPr>
          <w:lang w:val="en-US" w:eastAsia="zh-CN"/>
        </w:rPr>
      </w:pPr>
      <w:r>
        <w:rPr>
          <w:lang w:val="en-US" w:eastAsia="zh-CN"/>
        </w:rPr>
        <w:t>Discussion</w:t>
      </w:r>
    </w:p>
    <w:p w:rsidR="00A97026" w:rsidRPr="00E52495" w:rsidRDefault="00A97026" w:rsidP="00A97026">
      <w:pPr>
        <w:pStyle w:val="2"/>
        <w:keepNext w:val="0"/>
        <w:keepLines w:val="0"/>
        <w:spacing w:before="100" w:beforeAutospacing="1" w:afterLines="100" w:after="240"/>
        <w:ind w:left="0" w:firstLine="0"/>
        <w:rPr>
          <w:bCs/>
          <w:szCs w:val="32"/>
        </w:rPr>
      </w:pPr>
      <w:r w:rsidRPr="00E52495">
        <w:rPr>
          <w:bCs/>
        </w:rPr>
        <w:t xml:space="preserve">2.1 </w:t>
      </w:r>
      <w:r>
        <w:rPr>
          <w:bCs/>
        </w:rPr>
        <w:t>Handling</w:t>
      </w:r>
      <w:r w:rsidR="007F65F7">
        <w:rPr>
          <w:bCs/>
        </w:rPr>
        <w:t xml:space="preserve"> </w:t>
      </w:r>
      <w:r w:rsidR="007F65F7">
        <w:t>ΔT</w:t>
      </w:r>
      <w:r w:rsidR="007F65F7" w:rsidRPr="00B57417">
        <w:rPr>
          <w:vertAlign w:val="subscript"/>
        </w:rPr>
        <w:t>IB</w:t>
      </w:r>
      <w:r w:rsidR="007F65F7">
        <w:rPr>
          <w:vertAlign w:val="subscript"/>
        </w:rPr>
        <w:t>,c</w:t>
      </w:r>
      <w:r w:rsidR="007F65F7">
        <w:t xml:space="preserve"> and ΔR</w:t>
      </w:r>
      <w:r w:rsidR="007F65F7" w:rsidRPr="00B57417">
        <w:rPr>
          <w:vertAlign w:val="subscript"/>
        </w:rPr>
        <w:t>IB</w:t>
      </w:r>
      <w:r w:rsidR="007F65F7">
        <w:rPr>
          <w:vertAlign w:val="subscript"/>
        </w:rPr>
        <w:t xml:space="preserve">,c </w:t>
      </w:r>
      <w:r w:rsidR="007F65F7">
        <w:t>tables</w:t>
      </w:r>
    </w:p>
    <w:p w:rsidR="000B0227" w:rsidRDefault="001A74C3" w:rsidP="000B0227">
      <w:r>
        <w:t>In current RAN4 spec, the template for ΔT</w:t>
      </w:r>
      <w:r w:rsidRPr="00B57417">
        <w:rPr>
          <w:vertAlign w:val="subscript"/>
        </w:rPr>
        <w:t>IB</w:t>
      </w:r>
      <w:r>
        <w:rPr>
          <w:vertAlign w:val="subscript"/>
        </w:rPr>
        <w:t>,c</w:t>
      </w:r>
      <w:r>
        <w:t xml:space="preserve"> and ΔR</w:t>
      </w:r>
      <w:r w:rsidRPr="00B57417">
        <w:rPr>
          <w:vertAlign w:val="subscript"/>
        </w:rPr>
        <w:t>IB</w:t>
      </w:r>
      <w:r>
        <w:rPr>
          <w:vertAlign w:val="subscript"/>
        </w:rPr>
        <w:t xml:space="preserve">,c </w:t>
      </w:r>
      <w:r>
        <w:t xml:space="preserve">table is too redundant, such as for TS 38.101-3 v17.0.0, </w:t>
      </w:r>
      <w:r w:rsidR="00B6755C">
        <w:t>the ΔT</w:t>
      </w:r>
      <w:r w:rsidR="00B6755C" w:rsidRPr="00B57417">
        <w:rPr>
          <w:vertAlign w:val="subscript"/>
        </w:rPr>
        <w:t>IB</w:t>
      </w:r>
      <w:r w:rsidR="00B6755C">
        <w:rPr>
          <w:vertAlign w:val="subscript"/>
        </w:rPr>
        <w:t>,c</w:t>
      </w:r>
      <w:r w:rsidR="00B6755C">
        <w:t xml:space="preserve"> and ΔR</w:t>
      </w:r>
      <w:r w:rsidR="00B6755C" w:rsidRPr="00B57417">
        <w:rPr>
          <w:vertAlign w:val="subscript"/>
        </w:rPr>
        <w:t>IB</w:t>
      </w:r>
      <w:r w:rsidR="00B6755C">
        <w:rPr>
          <w:vertAlign w:val="subscript"/>
        </w:rPr>
        <w:t xml:space="preserve">,c </w:t>
      </w:r>
      <w:r w:rsidR="00B6755C">
        <w:t xml:space="preserve">tables account for 1/6 pages of the total spec, </w:t>
      </w:r>
      <w:r w:rsidR="00E55388">
        <w:t>i.e., 110 pages out of 610 pages in the length of the spec</w:t>
      </w:r>
      <w:r w:rsidR="00F015FF">
        <w:t xml:space="preserve"> for describing the ΔT</w:t>
      </w:r>
      <w:r w:rsidR="00F015FF" w:rsidRPr="00B57417">
        <w:rPr>
          <w:vertAlign w:val="subscript"/>
        </w:rPr>
        <w:t>IB</w:t>
      </w:r>
      <w:r w:rsidR="00F015FF">
        <w:rPr>
          <w:vertAlign w:val="subscript"/>
        </w:rPr>
        <w:t>,c</w:t>
      </w:r>
      <w:r w:rsidR="00F015FF">
        <w:t xml:space="preserve"> and ΔR</w:t>
      </w:r>
      <w:r w:rsidR="00F015FF" w:rsidRPr="00B57417">
        <w:rPr>
          <w:vertAlign w:val="subscript"/>
        </w:rPr>
        <w:t>IB</w:t>
      </w:r>
      <w:r w:rsidR="00F015FF">
        <w:rPr>
          <w:vertAlign w:val="subscript"/>
        </w:rPr>
        <w:t>,c</w:t>
      </w:r>
      <w:r w:rsidR="00F015FF">
        <w:t xml:space="preserve"> values</w:t>
      </w:r>
      <w:r w:rsidR="00E55388">
        <w:t xml:space="preserve">. </w:t>
      </w:r>
      <w:r w:rsidR="000B0227">
        <w:t xml:space="preserve">The situation </w:t>
      </w:r>
      <w:r w:rsidR="00734850">
        <w:t>will</w:t>
      </w:r>
      <w:r w:rsidR="000B0227">
        <w:t xml:space="preserve"> be worse and worse with the increasing number of band combinations introduced</w:t>
      </w:r>
      <w:r w:rsidR="00734850">
        <w:t>. If we take a look at TS 38.101-3 v16.6.0</w:t>
      </w:r>
      <w:r w:rsidR="000B0227">
        <w:t xml:space="preserve">, </w:t>
      </w:r>
      <w:r w:rsidR="00734850">
        <w:t>the total length of ΔT</w:t>
      </w:r>
      <w:r w:rsidR="00734850" w:rsidRPr="00B57417">
        <w:rPr>
          <w:vertAlign w:val="subscript"/>
        </w:rPr>
        <w:t>IB</w:t>
      </w:r>
      <w:r w:rsidR="00734850">
        <w:rPr>
          <w:vertAlign w:val="subscript"/>
        </w:rPr>
        <w:t>,c</w:t>
      </w:r>
      <w:r w:rsidR="00734850">
        <w:t xml:space="preserve"> and ΔR</w:t>
      </w:r>
      <w:r w:rsidR="00734850" w:rsidRPr="00B57417">
        <w:rPr>
          <w:vertAlign w:val="subscript"/>
        </w:rPr>
        <w:t>IB</w:t>
      </w:r>
      <w:r w:rsidR="00734850">
        <w:rPr>
          <w:vertAlign w:val="subscript"/>
        </w:rPr>
        <w:t xml:space="preserve">,c </w:t>
      </w:r>
      <w:r w:rsidR="00734850">
        <w:t xml:space="preserve">table </w:t>
      </w:r>
      <w:r w:rsidR="001B7742">
        <w:t xml:space="preserve">only occupies 77 pages. It means more than 30 pages have been </w:t>
      </w:r>
      <w:r w:rsidR="00F015FF">
        <w:t xml:space="preserve">newly </w:t>
      </w:r>
      <w:r w:rsidR="001B7742">
        <w:t>introduced for ΔT</w:t>
      </w:r>
      <w:r w:rsidR="001B7742" w:rsidRPr="00B57417">
        <w:rPr>
          <w:vertAlign w:val="subscript"/>
        </w:rPr>
        <w:t>IB</w:t>
      </w:r>
      <w:r w:rsidR="001B7742">
        <w:rPr>
          <w:vertAlign w:val="subscript"/>
        </w:rPr>
        <w:t>,c</w:t>
      </w:r>
      <w:r w:rsidR="001B7742">
        <w:t xml:space="preserve"> and ΔR</w:t>
      </w:r>
      <w:r w:rsidR="001B7742" w:rsidRPr="00B57417">
        <w:rPr>
          <w:vertAlign w:val="subscript"/>
        </w:rPr>
        <w:t>IB</w:t>
      </w:r>
      <w:r w:rsidR="001B7742">
        <w:rPr>
          <w:vertAlign w:val="subscript"/>
        </w:rPr>
        <w:t>,c</w:t>
      </w:r>
      <w:r w:rsidR="001B7742">
        <w:t xml:space="preserve"> between the two versions</w:t>
      </w:r>
      <w:r w:rsidR="00E55388">
        <w:t xml:space="preserve"> of v16.6.0 and v17.0.0</w:t>
      </w:r>
      <w:r w:rsidR="001B7742">
        <w:t xml:space="preserve">. It is urgent to solve the cumbersome issue for </w:t>
      </w:r>
      <w:r w:rsidR="00BE0782">
        <w:t xml:space="preserve">the length of </w:t>
      </w:r>
      <w:r w:rsidR="001B7742">
        <w:t>ΔT</w:t>
      </w:r>
      <w:r w:rsidR="001B7742" w:rsidRPr="00B57417">
        <w:rPr>
          <w:vertAlign w:val="subscript"/>
        </w:rPr>
        <w:t>IB</w:t>
      </w:r>
      <w:r w:rsidR="001B7742">
        <w:rPr>
          <w:vertAlign w:val="subscript"/>
        </w:rPr>
        <w:t>,c</w:t>
      </w:r>
      <w:r w:rsidR="001B7742">
        <w:t xml:space="preserve"> and ΔR</w:t>
      </w:r>
      <w:r w:rsidR="001B7742" w:rsidRPr="00B57417">
        <w:rPr>
          <w:vertAlign w:val="subscript"/>
        </w:rPr>
        <w:t>IB</w:t>
      </w:r>
      <w:r w:rsidR="001B7742">
        <w:rPr>
          <w:vertAlign w:val="subscript"/>
        </w:rPr>
        <w:t xml:space="preserve">,c </w:t>
      </w:r>
      <w:r w:rsidR="001B7742">
        <w:t>table.</w:t>
      </w:r>
    </w:p>
    <w:p w:rsidR="008D0837" w:rsidRDefault="008D0837" w:rsidP="0081402A">
      <w:pPr>
        <w:pStyle w:val="af"/>
        <w:numPr>
          <w:ilvl w:val="0"/>
          <w:numId w:val="25"/>
        </w:numPr>
        <w:ind w:firstLineChars="0"/>
      </w:pPr>
      <w:r>
        <w:rPr>
          <w:rFonts w:hint="eastAsia"/>
        </w:rPr>
        <w:t>A</w:t>
      </w:r>
      <w:r>
        <w:t>bout “</w:t>
      </w:r>
      <w:r w:rsidRPr="008D0837">
        <w:rPr>
          <w:b/>
          <w:i/>
          <w:u w:val="single"/>
        </w:rPr>
        <w:t>Option 1</w:t>
      </w:r>
      <w:r>
        <w:t>”</w:t>
      </w:r>
    </w:p>
    <w:p w:rsidR="007D6E06" w:rsidRDefault="007D6E06" w:rsidP="008D0837">
      <w:r>
        <w:t xml:space="preserve">Regarding to the </w:t>
      </w:r>
      <w:r w:rsidR="0095191F">
        <w:t xml:space="preserve">optimization solution </w:t>
      </w:r>
      <w:r w:rsidR="0095191F" w:rsidRPr="008D0837">
        <w:rPr>
          <w:b/>
        </w:rPr>
        <w:t>“</w:t>
      </w:r>
      <w:r w:rsidR="0095191F" w:rsidRPr="008D0837">
        <w:rPr>
          <w:b/>
          <w:i/>
          <w:u w:val="single"/>
        </w:rPr>
        <w:t>Option 1</w:t>
      </w:r>
      <w:r w:rsidR="0095191F" w:rsidRPr="008D0837">
        <w:rPr>
          <w:b/>
        </w:rPr>
        <w:t>”</w:t>
      </w:r>
      <w:r w:rsidR="001B7742">
        <w:t xml:space="preserve"> proposed in [2]</w:t>
      </w:r>
      <w:r w:rsidR="0095191F">
        <w:t xml:space="preserve">, it </w:t>
      </w:r>
      <w:r w:rsidR="009451AC">
        <w:t xml:space="preserve">actually </w:t>
      </w:r>
      <w:r w:rsidR="0095191F">
        <w:t>keeps the original format of ΔT</w:t>
      </w:r>
      <w:r w:rsidR="0095191F" w:rsidRPr="008D0837">
        <w:rPr>
          <w:vertAlign w:val="subscript"/>
        </w:rPr>
        <w:t>IB,c</w:t>
      </w:r>
      <w:r w:rsidR="0095191F">
        <w:t xml:space="preserve"> and ΔR</w:t>
      </w:r>
      <w:r w:rsidR="0095191F" w:rsidRPr="008D0837">
        <w:rPr>
          <w:vertAlign w:val="subscript"/>
        </w:rPr>
        <w:t xml:space="preserve">IB,c </w:t>
      </w:r>
      <w:r w:rsidR="00BE0782">
        <w:t xml:space="preserve">in the specification </w:t>
      </w:r>
      <w:r w:rsidR="00C9523C">
        <w:t>but</w:t>
      </w:r>
      <w:r w:rsidR="00883771">
        <w:t xml:space="preserve"> merges</w:t>
      </w:r>
      <w:r w:rsidR="0095191F">
        <w:t xml:space="preserve"> </w:t>
      </w:r>
      <w:r w:rsidR="00883771">
        <w:t xml:space="preserve">all </w:t>
      </w:r>
      <w:r w:rsidR="0095191F">
        <w:t>the bands having the same</w:t>
      </w:r>
      <w:r w:rsidR="008F41BA">
        <w:t xml:space="preserve"> ΔT</w:t>
      </w:r>
      <w:r w:rsidR="008F41BA" w:rsidRPr="008D0837">
        <w:rPr>
          <w:vertAlign w:val="subscript"/>
        </w:rPr>
        <w:t>IB,c</w:t>
      </w:r>
      <w:r w:rsidR="008F41BA">
        <w:t xml:space="preserve"> and ΔR</w:t>
      </w:r>
      <w:r w:rsidR="008F41BA" w:rsidRPr="008D0837">
        <w:rPr>
          <w:vertAlign w:val="subscript"/>
        </w:rPr>
        <w:t>IB,c</w:t>
      </w:r>
      <w:r w:rsidR="008F41BA">
        <w:t xml:space="preserve"> values.</w:t>
      </w:r>
      <w:r w:rsidR="001B7742">
        <w:t xml:space="preserve"> </w:t>
      </w:r>
      <w:r w:rsidR="00193095">
        <w:t>However, if we take a further look at the ΔT</w:t>
      </w:r>
      <w:r w:rsidR="00193095" w:rsidRPr="008D0837">
        <w:rPr>
          <w:vertAlign w:val="subscript"/>
        </w:rPr>
        <w:t>IB,c</w:t>
      </w:r>
      <w:r w:rsidR="00193095">
        <w:t xml:space="preserve"> and ΔR</w:t>
      </w:r>
      <w:r w:rsidR="00193095" w:rsidRPr="008D0837">
        <w:rPr>
          <w:vertAlign w:val="subscript"/>
        </w:rPr>
        <w:t xml:space="preserve">IB,c </w:t>
      </w:r>
      <w:r w:rsidR="00193095">
        <w:t xml:space="preserve">table, we will find that only </w:t>
      </w:r>
      <w:r w:rsidR="00791E88">
        <w:t>about</w:t>
      </w:r>
      <w:r w:rsidR="00193095">
        <w:t xml:space="preserve"> 20% configurations have exactly the same values which can be simplified.</w:t>
      </w:r>
      <w:r w:rsidR="004A30E8">
        <w:t xml:space="preserve"> Take ΔT</w:t>
      </w:r>
      <w:r w:rsidR="004A30E8" w:rsidRPr="008D0837">
        <w:rPr>
          <w:vertAlign w:val="subscript"/>
        </w:rPr>
        <w:t>IB,c</w:t>
      </w:r>
      <w:r w:rsidR="004A30E8">
        <w:t xml:space="preserve"> table in TS 38.101-3 v17.0.0 as an example, Table 1 illustrates </w:t>
      </w:r>
      <w:r w:rsidR="00E85DBC">
        <w:t xml:space="preserve">the detail simplification </w:t>
      </w:r>
      <w:r w:rsidR="001E1255">
        <w:t xml:space="preserve">ratio </w:t>
      </w:r>
      <w:r w:rsidR="00F015FF">
        <w:t xml:space="preserve">in row </w:t>
      </w:r>
      <w:r w:rsidR="00E85DBC">
        <w:t>by using solution “</w:t>
      </w:r>
      <w:r w:rsidR="00E85DBC" w:rsidRPr="008D0837">
        <w:rPr>
          <w:b/>
          <w:i/>
          <w:u w:val="single"/>
        </w:rPr>
        <w:t>Option 1</w:t>
      </w:r>
      <w:r w:rsidR="00E85DBC">
        <w:t>”.</w:t>
      </w:r>
    </w:p>
    <w:p w:rsidR="002B6A0F" w:rsidRDefault="002B6A0F" w:rsidP="00A97026"/>
    <w:p w:rsidR="00E85DBC" w:rsidRDefault="00E85DBC" w:rsidP="00E85DBC">
      <w:pPr>
        <w:jc w:val="center"/>
        <w:rPr>
          <w:sz w:val="21"/>
          <w:szCs w:val="21"/>
        </w:rPr>
      </w:pPr>
      <w:r w:rsidRPr="00E85DBC">
        <w:rPr>
          <w:sz w:val="21"/>
          <w:szCs w:val="21"/>
        </w:rPr>
        <w:t xml:space="preserve">Table 1  </w:t>
      </w:r>
      <w:r w:rsidR="007505F4">
        <w:rPr>
          <w:sz w:val="21"/>
          <w:szCs w:val="21"/>
        </w:rPr>
        <w:t>Reduction</w:t>
      </w:r>
      <w:r w:rsidR="009D3BAD">
        <w:rPr>
          <w:sz w:val="21"/>
          <w:szCs w:val="21"/>
        </w:rPr>
        <w:t xml:space="preserve"> of </w:t>
      </w:r>
      <w:r w:rsidR="009D3BAD" w:rsidRPr="009D3BAD">
        <w:rPr>
          <w:sz w:val="21"/>
          <w:szCs w:val="21"/>
        </w:rPr>
        <w:t>ΔT</w:t>
      </w:r>
      <w:r w:rsidR="009D3BAD" w:rsidRPr="009D3BAD">
        <w:rPr>
          <w:sz w:val="21"/>
          <w:szCs w:val="21"/>
          <w:vertAlign w:val="subscript"/>
        </w:rPr>
        <w:t>IB,c</w:t>
      </w:r>
      <w:r w:rsidR="009D3BAD" w:rsidRPr="009D3BAD">
        <w:rPr>
          <w:sz w:val="21"/>
          <w:szCs w:val="21"/>
        </w:rPr>
        <w:t xml:space="preserve"> </w:t>
      </w:r>
      <w:r w:rsidR="009D3BAD">
        <w:rPr>
          <w:sz w:val="21"/>
          <w:szCs w:val="21"/>
        </w:rPr>
        <w:t>by using solution “</w:t>
      </w:r>
      <w:r w:rsidR="009D3BAD" w:rsidRPr="009D3BAD">
        <w:rPr>
          <w:i/>
          <w:sz w:val="21"/>
          <w:szCs w:val="21"/>
        </w:rPr>
        <w:t>Option 1</w:t>
      </w:r>
      <w:r w:rsidR="009D3BAD">
        <w:rPr>
          <w:sz w:val="21"/>
          <w:szCs w:val="21"/>
        </w:rPr>
        <w:t>”</w:t>
      </w:r>
      <w:r w:rsidR="007505F4">
        <w:rPr>
          <w:sz w:val="21"/>
          <w:szCs w:val="21"/>
        </w:rPr>
        <w:t xml:space="preserve"> (TS 38.101-3 v17.0.0)</w:t>
      </w:r>
    </w:p>
    <w:tbl>
      <w:tblPr>
        <w:tblStyle w:val="4-6"/>
        <w:tblW w:w="9776" w:type="dxa"/>
        <w:tblLook w:val="04A0" w:firstRow="1" w:lastRow="0" w:firstColumn="1" w:lastColumn="0" w:noHBand="0" w:noVBand="1"/>
      </w:tblPr>
      <w:tblGrid>
        <w:gridCol w:w="1339"/>
        <w:gridCol w:w="1460"/>
        <w:gridCol w:w="1461"/>
        <w:gridCol w:w="1460"/>
        <w:gridCol w:w="1461"/>
        <w:gridCol w:w="1461"/>
        <w:gridCol w:w="1134"/>
      </w:tblGrid>
      <w:tr w:rsidR="00E24807" w:rsidTr="00BF66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Pr>
          <w:p w:rsidR="00E24807" w:rsidRPr="005668F0" w:rsidRDefault="00E24807" w:rsidP="001165B0">
            <w:pPr>
              <w:spacing w:after="0"/>
              <w:jc w:val="center"/>
              <w:rPr>
                <w:rFonts w:ascii="Arial" w:hAnsi="Arial" w:cs="Arial"/>
                <w:sz w:val="18"/>
                <w:szCs w:val="18"/>
              </w:rPr>
            </w:pPr>
            <w:r w:rsidRPr="005668F0">
              <w:rPr>
                <w:rFonts w:ascii="Arial" w:hAnsi="Arial" w:cs="Arial"/>
                <w:sz w:val="18"/>
                <w:szCs w:val="18"/>
              </w:rPr>
              <w:t>EN-DC</w:t>
            </w:r>
          </w:p>
        </w:tc>
        <w:tc>
          <w:tcPr>
            <w:tcW w:w="1460" w:type="dxa"/>
          </w:tcPr>
          <w:p w:rsidR="00E24807" w:rsidRPr="005668F0" w:rsidRDefault="00E24807" w:rsidP="001165B0">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5668F0">
              <w:rPr>
                <w:rFonts w:ascii="Arial" w:hAnsi="Arial" w:cs="Arial"/>
                <w:sz w:val="18"/>
                <w:szCs w:val="18"/>
              </w:rPr>
              <w:t>with 5 same values</w:t>
            </w:r>
          </w:p>
        </w:tc>
        <w:tc>
          <w:tcPr>
            <w:tcW w:w="1461" w:type="dxa"/>
          </w:tcPr>
          <w:p w:rsidR="00E24807" w:rsidRPr="005668F0" w:rsidRDefault="00E24807" w:rsidP="001165B0">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5668F0">
              <w:rPr>
                <w:rFonts w:ascii="Arial" w:hAnsi="Arial" w:cs="Arial"/>
                <w:sz w:val="18"/>
                <w:szCs w:val="18"/>
              </w:rPr>
              <w:t>with 4 same values</w:t>
            </w:r>
          </w:p>
        </w:tc>
        <w:tc>
          <w:tcPr>
            <w:tcW w:w="1460" w:type="dxa"/>
          </w:tcPr>
          <w:p w:rsidR="00E24807" w:rsidRPr="005668F0" w:rsidRDefault="00E24807" w:rsidP="001165B0">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5668F0">
              <w:rPr>
                <w:rFonts w:ascii="Arial" w:hAnsi="Arial" w:cs="Arial"/>
                <w:sz w:val="18"/>
                <w:szCs w:val="18"/>
              </w:rPr>
              <w:t>with 3 same values</w:t>
            </w:r>
          </w:p>
        </w:tc>
        <w:tc>
          <w:tcPr>
            <w:tcW w:w="1461" w:type="dxa"/>
          </w:tcPr>
          <w:p w:rsidR="00E24807" w:rsidRPr="005668F0" w:rsidRDefault="00E24807" w:rsidP="001165B0">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5668F0">
              <w:rPr>
                <w:rFonts w:ascii="Arial" w:hAnsi="Arial" w:cs="Arial"/>
                <w:sz w:val="18"/>
                <w:szCs w:val="18"/>
              </w:rPr>
              <w:t>with 2 same values</w:t>
            </w:r>
          </w:p>
        </w:tc>
        <w:tc>
          <w:tcPr>
            <w:tcW w:w="1461" w:type="dxa"/>
          </w:tcPr>
          <w:p w:rsidR="00E24807" w:rsidRPr="005668F0" w:rsidRDefault="00E24807" w:rsidP="001165B0">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5668F0">
              <w:rPr>
                <w:rFonts w:ascii="Arial" w:hAnsi="Arial" w:cs="Arial"/>
                <w:sz w:val="18"/>
                <w:szCs w:val="18"/>
              </w:rPr>
              <w:t>All with different values</w:t>
            </w:r>
          </w:p>
        </w:tc>
        <w:tc>
          <w:tcPr>
            <w:tcW w:w="1134" w:type="dxa"/>
          </w:tcPr>
          <w:p w:rsidR="00E24807" w:rsidRPr="005668F0" w:rsidRDefault="005668F0" w:rsidP="001165B0">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hint="eastAsia"/>
                <w:sz w:val="18"/>
                <w:szCs w:val="18"/>
              </w:rPr>
              <w:t>T</w:t>
            </w:r>
            <w:r>
              <w:rPr>
                <w:rFonts w:ascii="Arial" w:hAnsi="Arial" w:cs="Arial"/>
                <w:sz w:val="18"/>
                <w:szCs w:val="18"/>
              </w:rPr>
              <w:t xml:space="preserve">otal </w:t>
            </w:r>
            <w:r w:rsidR="00BF66D4">
              <w:rPr>
                <w:rFonts w:ascii="Arial" w:hAnsi="Arial" w:cs="Arial"/>
                <w:sz w:val="18"/>
                <w:szCs w:val="18"/>
              </w:rPr>
              <w:t xml:space="preserve">row </w:t>
            </w:r>
            <w:r>
              <w:rPr>
                <w:rFonts w:ascii="Arial" w:hAnsi="Arial" w:cs="Arial"/>
                <w:sz w:val="18"/>
                <w:szCs w:val="18"/>
              </w:rPr>
              <w:t>reduced ratio</w:t>
            </w:r>
          </w:p>
        </w:tc>
      </w:tr>
      <w:tr w:rsidR="00E24807"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vMerge w:val="restart"/>
          </w:tcPr>
          <w:p w:rsidR="00E24807" w:rsidRPr="005668F0" w:rsidRDefault="00E24807" w:rsidP="001165B0">
            <w:pPr>
              <w:spacing w:before="0" w:beforeAutospacing="0" w:after="0"/>
              <w:jc w:val="center"/>
              <w:rPr>
                <w:rFonts w:ascii="Arial" w:hAnsi="Arial" w:cs="Arial"/>
                <w:sz w:val="18"/>
                <w:szCs w:val="18"/>
              </w:rPr>
            </w:pPr>
            <w:r w:rsidRPr="005668F0">
              <w:rPr>
                <w:rFonts w:ascii="Arial" w:hAnsi="Arial" w:cs="Arial"/>
                <w:sz w:val="18"/>
                <w:szCs w:val="18"/>
              </w:rPr>
              <w:t>Two bands</w:t>
            </w:r>
          </w:p>
        </w:tc>
        <w:tc>
          <w:tcPr>
            <w:tcW w:w="1460" w:type="dxa"/>
            <w:vMerge w:val="restart"/>
            <w:vAlign w:val="center"/>
          </w:tcPr>
          <w:p w:rsidR="00E24807" w:rsidRPr="005668F0" w:rsidRDefault="00E24807" w:rsidP="005668F0">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w:t>
            </w:r>
          </w:p>
        </w:tc>
        <w:tc>
          <w:tcPr>
            <w:tcW w:w="1461" w:type="dxa"/>
            <w:vMerge w:val="restart"/>
            <w:vAlign w:val="center"/>
          </w:tcPr>
          <w:p w:rsidR="00E24807" w:rsidRPr="005668F0" w:rsidRDefault="00E24807" w:rsidP="005668F0">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w:t>
            </w:r>
          </w:p>
        </w:tc>
        <w:tc>
          <w:tcPr>
            <w:tcW w:w="1460" w:type="dxa"/>
            <w:vMerge w:val="restart"/>
            <w:vAlign w:val="center"/>
          </w:tcPr>
          <w:p w:rsidR="00E24807" w:rsidRPr="005668F0" w:rsidRDefault="00E24807" w:rsidP="005668F0">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102</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102</w:t>
            </w:r>
          </w:p>
        </w:tc>
        <w:tc>
          <w:tcPr>
            <w:tcW w:w="1134"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E24807" w:rsidTr="00BF66D4">
        <w:tc>
          <w:tcPr>
            <w:cnfStyle w:val="001000000000" w:firstRow="0" w:lastRow="0" w:firstColumn="1" w:lastColumn="0" w:oddVBand="0" w:evenVBand="0" w:oddHBand="0" w:evenHBand="0" w:firstRowFirstColumn="0" w:firstRowLastColumn="0" w:lastRowFirstColumn="0" w:lastRowLastColumn="0"/>
            <w:tcW w:w="1339" w:type="dxa"/>
            <w:vMerge/>
          </w:tcPr>
          <w:p w:rsidR="00E24807" w:rsidRPr="005668F0" w:rsidRDefault="00E24807" w:rsidP="00613C2E">
            <w:pPr>
              <w:spacing w:before="0" w:beforeAutospacing="0" w:after="0"/>
              <w:jc w:val="center"/>
              <w:rPr>
                <w:rFonts w:ascii="Arial" w:hAnsi="Arial" w:cs="Arial"/>
                <w:sz w:val="18"/>
                <w:szCs w:val="18"/>
              </w:rPr>
            </w:pPr>
          </w:p>
        </w:tc>
        <w:tc>
          <w:tcPr>
            <w:tcW w:w="1460" w:type="dxa"/>
            <w:vMerge/>
            <w:vAlign w:val="center"/>
          </w:tcPr>
          <w:p w:rsidR="00E24807" w:rsidRPr="005668F0" w:rsidRDefault="00E24807" w:rsidP="005668F0">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5"/>
                <w:szCs w:val="15"/>
              </w:rPr>
            </w:pPr>
          </w:p>
        </w:tc>
        <w:tc>
          <w:tcPr>
            <w:tcW w:w="1461" w:type="dxa"/>
            <w:vMerge/>
            <w:vAlign w:val="center"/>
          </w:tcPr>
          <w:p w:rsidR="00E24807" w:rsidRPr="005668F0" w:rsidRDefault="00E24807" w:rsidP="005668F0">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5"/>
                <w:szCs w:val="15"/>
              </w:rPr>
            </w:pPr>
          </w:p>
        </w:tc>
        <w:tc>
          <w:tcPr>
            <w:tcW w:w="1460" w:type="dxa"/>
            <w:vMerge/>
          </w:tcPr>
          <w:p w:rsidR="00E24807" w:rsidRPr="005668F0" w:rsidRDefault="00E24807" w:rsidP="00613C2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5"/>
                <w:szCs w:val="15"/>
              </w:rPr>
            </w:pPr>
          </w:p>
        </w:tc>
        <w:tc>
          <w:tcPr>
            <w:tcW w:w="1461" w:type="dxa"/>
          </w:tcPr>
          <w:p w:rsidR="00E24807" w:rsidRPr="005668F0" w:rsidRDefault="00E24807" w:rsidP="00613C2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102</w:t>
            </w:r>
          </w:p>
          <w:p w:rsidR="00E24807" w:rsidRPr="005668F0" w:rsidRDefault="00E24807" w:rsidP="00613C2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102</w:t>
            </w:r>
          </w:p>
        </w:tc>
        <w:tc>
          <w:tcPr>
            <w:tcW w:w="1461" w:type="dxa"/>
          </w:tcPr>
          <w:p w:rsidR="00E24807" w:rsidRPr="005668F0" w:rsidRDefault="00E24807" w:rsidP="001165B0">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0</w:t>
            </w:r>
          </w:p>
          <w:p w:rsidR="00E24807" w:rsidRPr="005668F0" w:rsidRDefault="00E24807" w:rsidP="001165B0">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204</w:t>
            </w:r>
          </w:p>
        </w:tc>
        <w:tc>
          <w:tcPr>
            <w:tcW w:w="1134" w:type="dxa"/>
          </w:tcPr>
          <w:p w:rsidR="00E24807" w:rsidRPr="005668F0" w:rsidRDefault="00561436" w:rsidP="001165B0">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sidRPr="00561436">
              <w:rPr>
                <w:rFonts w:ascii="Arial" w:hAnsi="Arial" w:cs="Arial" w:hint="eastAsia"/>
                <w:sz w:val="13"/>
                <w:szCs w:val="13"/>
                <w:highlight w:val="cyan"/>
              </w:rPr>
              <w:t>2</w:t>
            </w:r>
            <w:r w:rsidRPr="00561436">
              <w:rPr>
                <w:rFonts w:ascii="Arial" w:hAnsi="Arial" w:cs="Arial"/>
                <w:sz w:val="13"/>
                <w:szCs w:val="13"/>
                <w:highlight w:val="cyan"/>
              </w:rPr>
              <w:t>5%</w:t>
            </w:r>
          </w:p>
        </w:tc>
      </w:tr>
      <w:tr w:rsidR="00E24807"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vMerge w:val="restart"/>
          </w:tcPr>
          <w:p w:rsidR="00E24807" w:rsidRPr="005668F0" w:rsidRDefault="00E24807" w:rsidP="001165B0">
            <w:pPr>
              <w:spacing w:before="0" w:beforeAutospacing="0" w:after="0"/>
              <w:jc w:val="center"/>
              <w:rPr>
                <w:rFonts w:ascii="Arial" w:hAnsi="Arial" w:cs="Arial"/>
                <w:sz w:val="18"/>
                <w:szCs w:val="18"/>
              </w:rPr>
            </w:pPr>
            <w:r w:rsidRPr="005668F0">
              <w:rPr>
                <w:rFonts w:ascii="Arial" w:hAnsi="Arial" w:cs="Arial"/>
                <w:sz w:val="18"/>
                <w:szCs w:val="18"/>
              </w:rPr>
              <w:t>Three bands</w:t>
            </w:r>
          </w:p>
        </w:tc>
        <w:tc>
          <w:tcPr>
            <w:tcW w:w="1460" w:type="dxa"/>
            <w:vMerge w:val="restart"/>
            <w:vAlign w:val="center"/>
          </w:tcPr>
          <w:p w:rsidR="00E24807" w:rsidRPr="005668F0" w:rsidRDefault="00E24807" w:rsidP="005668F0">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w:t>
            </w:r>
          </w:p>
        </w:tc>
        <w:tc>
          <w:tcPr>
            <w:tcW w:w="1461" w:type="dxa"/>
            <w:vMerge w:val="restart"/>
            <w:vAlign w:val="center"/>
          </w:tcPr>
          <w:p w:rsidR="00E24807" w:rsidRPr="005668F0" w:rsidRDefault="00E24807" w:rsidP="005668F0">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w:t>
            </w:r>
          </w:p>
        </w:tc>
        <w:tc>
          <w:tcPr>
            <w:tcW w:w="1460"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52</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183</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127</w:t>
            </w:r>
          </w:p>
        </w:tc>
        <w:tc>
          <w:tcPr>
            <w:tcW w:w="1134"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E24807" w:rsidTr="00BF66D4">
        <w:tc>
          <w:tcPr>
            <w:cnfStyle w:val="001000000000" w:firstRow="0" w:lastRow="0" w:firstColumn="1" w:lastColumn="0" w:oddVBand="0" w:evenVBand="0" w:oddHBand="0" w:evenHBand="0" w:firstRowFirstColumn="0" w:firstRowLastColumn="0" w:lastRowFirstColumn="0" w:lastRowLastColumn="0"/>
            <w:tcW w:w="1339" w:type="dxa"/>
            <w:vMerge/>
          </w:tcPr>
          <w:p w:rsidR="00E24807" w:rsidRPr="005668F0" w:rsidRDefault="00E24807" w:rsidP="00613C2E">
            <w:pPr>
              <w:spacing w:before="0" w:beforeAutospacing="0" w:after="0"/>
              <w:jc w:val="center"/>
              <w:rPr>
                <w:rFonts w:ascii="Arial" w:hAnsi="Arial" w:cs="Arial"/>
                <w:sz w:val="18"/>
                <w:szCs w:val="18"/>
              </w:rPr>
            </w:pPr>
          </w:p>
        </w:tc>
        <w:tc>
          <w:tcPr>
            <w:tcW w:w="1460" w:type="dxa"/>
            <w:vMerge/>
            <w:vAlign w:val="center"/>
          </w:tcPr>
          <w:p w:rsidR="00E24807" w:rsidRPr="005668F0" w:rsidRDefault="00E24807" w:rsidP="005668F0">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tcW w:w="1461" w:type="dxa"/>
            <w:vMerge/>
          </w:tcPr>
          <w:p w:rsidR="00E24807" w:rsidRPr="005668F0" w:rsidRDefault="00E24807" w:rsidP="00613C2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tcW w:w="1460" w:type="dxa"/>
          </w:tcPr>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104</w:t>
            </w:r>
          </w:p>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52</w:t>
            </w:r>
          </w:p>
        </w:tc>
        <w:tc>
          <w:tcPr>
            <w:tcW w:w="1461" w:type="dxa"/>
          </w:tcPr>
          <w:p w:rsidR="00E24807" w:rsidRPr="005668F0" w:rsidRDefault="00E24807" w:rsidP="007536C1">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183</w:t>
            </w:r>
          </w:p>
          <w:p w:rsidR="00E24807" w:rsidRPr="005668F0" w:rsidRDefault="00E24807" w:rsidP="007536C1">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366</w:t>
            </w:r>
          </w:p>
        </w:tc>
        <w:tc>
          <w:tcPr>
            <w:tcW w:w="1461" w:type="dxa"/>
          </w:tcPr>
          <w:p w:rsidR="00E24807" w:rsidRPr="005668F0" w:rsidRDefault="00E24807" w:rsidP="007536C1">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0</w:t>
            </w:r>
          </w:p>
          <w:p w:rsidR="00E24807" w:rsidRPr="005668F0" w:rsidRDefault="00E24807" w:rsidP="007536C1">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381</w:t>
            </w:r>
          </w:p>
        </w:tc>
        <w:tc>
          <w:tcPr>
            <w:tcW w:w="1134" w:type="dxa"/>
          </w:tcPr>
          <w:p w:rsidR="00E24807" w:rsidRPr="005668F0" w:rsidRDefault="00561436" w:rsidP="007536C1">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sidRPr="00561436">
              <w:rPr>
                <w:rFonts w:ascii="Arial" w:hAnsi="Arial" w:cs="Arial" w:hint="eastAsia"/>
                <w:sz w:val="13"/>
                <w:szCs w:val="13"/>
                <w:highlight w:val="cyan"/>
              </w:rPr>
              <w:t>2</w:t>
            </w:r>
            <w:r w:rsidR="00F63E22">
              <w:rPr>
                <w:rFonts w:ascii="Arial" w:hAnsi="Arial" w:cs="Arial"/>
                <w:sz w:val="13"/>
                <w:szCs w:val="13"/>
                <w:highlight w:val="cyan"/>
              </w:rPr>
              <w:t>6.4</w:t>
            </w:r>
            <w:r w:rsidRPr="00561436">
              <w:rPr>
                <w:rFonts w:ascii="Arial" w:hAnsi="Arial" w:cs="Arial"/>
                <w:sz w:val="13"/>
                <w:szCs w:val="13"/>
                <w:highlight w:val="cyan"/>
              </w:rPr>
              <w:t>%</w:t>
            </w:r>
          </w:p>
        </w:tc>
      </w:tr>
      <w:tr w:rsidR="00E24807"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vMerge w:val="restart"/>
          </w:tcPr>
          <w:p w:rsidR="00E24807" w:rsidRPr="005668F0" w:rsidRDefault="00E24807" w:rsidP="001165B0">
            <w:pPr>
              <w:spacing w:before="0" w:beforeAutospacing="0" w:after="0"/>
              <w:jc w:val="center"/>
              <w:rPr>
                <w:rFonts w:ascii="Arial" w:hAnsi="Arial" w:cs="Arial"/>
                <w:sz w:val="18"/>
                <w:szCs w:val="18"/>
              </w:rPr>
            </w:pPr>
            <w:r w:rsidRPr="005668F0">
              <w:rPr>
                <w:rFonts w:ascii="Arial" w:hAnsi="Arial" w:cs="Arial"/>
                <w:sz w:val="18"/>
                <w:szCs w:val="18"/>
              </w:rPr>
              <w:t>Four bands</w:t>
            </w:r>
          </w:p>
        </w:tc>
        <w:tc>
          <w:tcPr>
            <w:tcW w:w="1460" w:type="dxa"/>
            <w:vMerge w:val="restart"/>
            <w:vAlign w:val="center"/>
          </w:tcPr>
          <w:p w:rsidR="00E24807" w:rsidRPr="005668F0" w:rsidRDefault="00E24807" w:rsidP="005668F0">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12</w:t>
            </w:r>
          </w:p>
        </w:tc>
        <w:tc>
          <w:tcPr>
            <w:tcW w:w="1460"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62</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181</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32</w:t>
            </w:r>
          </w:p>
        </w:tc>
        <w:tc>
          <w:tcPr>
            <w:tcW w:w="1134"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E24807" w:rsidTr="00BF66D4">
        <w:tc>
          <w:tcPr>
            <w:cnfStyle w:val="001000000000" w:firstRow="0" w:lastRow="0" w:firstColumn="1" w:lastColumn="0" w:oddVBand="0" w:evenVBand="0" w:oddHBand="0" w:evenHBand="0" w:firstRowFirstColumn="0" w:firstRowLastColumn="0" w:lastRowFirstColumn="0" w:lastRowLastColumn="0"/>
            <w:tcW w:w="1339" w:type="dxa"/>
            <w:vMerge/>
          </w:tcPr>
          <w:p w:rsidR="00E24807" w:rsidRPr="005668F0" w:rsidRDefault="00E24807" w:rsidP="001165B0">
            <w:pPr>
              <w:spacing w:before="0" w:beforeAutospacing="0" w:after="0"/>
              <w:jc w:val="center"/>
              <w:rPr>
                <w:rFonts w:ascii="Arial" w:hAnsi="Arial" w:cs="Arial"/>
                <w:sz w:val="18"/>
                <w:szCs w:val="18"/>
              </w:rPr>
            </w:pPr>
          </w:p>
        </w:tc>
        <w:tc>
          <w:tcPr>
            <w:tcW w:w="1460" w:type="dxa"/>
            <w:vMerge/>
          </w:tcPr>
          <w:p w:rsidR="00E24807" w:rsidRPr="005668F0" w:rsidRDefault="00E24807" w:rsidP="00613C2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1"/>
                <w:szCs w:val="21"/>
              </w:rPr>
            </w:pPr>
          </w:p>
        </w:tc>
        <w:tc>
          <w:tcPr>
            <w:tcW w:w="1461" w:type="dxa"/>
          </w:tcPr>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36</w:t>
            </w:r>
          </w:p>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12</w:t>
            </w:r>
          </w:p>
        </w:tc>
        <w:tc>
          <w:tcPr>
            <w:tcW w:w="1460" w:type="dxa"/>
          </w:tcPr>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124</w:t>
            </w:r>
          </w:p>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124</w:t>
            </w:r>
          </w:p>
        </w:tc>
        <w:tc>
          <w:tcPr>
            <w:tcW w:w="1461" w:type="dxa"/>
          </w:tcPr>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181</w:t>
            </w:r>
          </w:p>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543</w:t>
            </w:r>
          </w:p>
        </w:tc>
        <w:tc>
          <w:tcPr>
            <w:tcW w:w="1461" w:type="dxa"/>
          </w:tcPr>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0</w:t>
            </w:r>
          </w:p>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128</w:t>
            </w:r>
          </w:p>
        </w:tc>
        <w:tc>
          <w:tcPr>
            <w:tcW w:w="1134" w:type="dxa"/>
          </w:tcPr>
          <w:p w:rsidR="00E24807" w:rsidRPr="005668F0" w:rsidRDefault="00F63E22"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sidRPr="00561436">
              <w:rPr>
                <w:rFonts w:ascii="Arial" w:hAnsi="Arial" w:cs="Arial" w:hint="eastAsia"/>
                <w:sz w:val="13"/>
                <w:szCs w:val="13"/>
                <w:highlight w:val="cyan"/>
              </w:rPr>
              <w:t>2</w:t>
            </w:r>
            <w:r>
              <w:rPr>
                <w:rFonts w:ascii="Arial" w:hAnsi="Arial" w:cs="Arial"/>
                <w:sz w:val="13"/>
                <w:szCs w:val="13"/>
                <w:highlight w:val="cyan"/>
              </w:rPr>
              <w:t>9.7</w:t>
            </w:r>
            <w:r w:rsidRPr="00561436">
              <w:rPr>
                <w:rFonts w:ascii="Arial" w:hAnsi="Arial" w:cs="Arial"/>
                <w:sz w:val="13"/>
                <w:szCs w:val="13"/>
                <w:highlight w:val="cyan"/>
              </w:rPr>
              <w:t>%</w:t>
            </w:r>
          </w:p>
        </w:tc>
      </w:tr>
      <w:tr w:rsidR="00E24807"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vMerge w:val="restart"/>
          </w:tcPr>
          <w:p w:rsidR="00E24807" w:rsidRPr="005668F0" w:rsidRDefault="00E24807" w:rsidP="001165B0">
            <w:pPr>
              <w:spacing w:before="0" w:beforeAutospacing="0" w:after="0"/>
              <w:jc w:val="center"/>
              <w:rPr>
                <w:rFonts w:ascii="Arial" w:hAnsi="Arial" w:cs="Arial"/>
                <w:sz w:val="18"/>
                <w:szCs w:val="18"/>
              </w:rPr>
            </w:pPr>
            <w:r w:rsidRPr="005668F0">
              <w:rPr>
                <w:rFonts w:ascii="Arial" w:hAnsi="Arial" w:cs="Arial"/>
                <w:sz w:val="18"/>
                <w:szCs w:val="18"/>
              </w:rPr>
              <w:t>Five bands</w:t>
            </w:r>
          </w:p>
        </w:tc>
        <w:tc>
          <w:tcPr>
            <w:tcW w:w="1460"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5</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9</w:t>
            </w:r>
          </w:p>
        </w:tc>
        <w:tc>
          <w:tcPr>
            <w:tcW w:w="1460"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16</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54</w:t>
            </w:r>
          </w:p>
        </w:tc>
        <w:tc>
          <w:tcPr>
            <w:tcW w:w="1461"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sidRPr="005668F0">
              <w:rPr>
                <w:rFonts w:ascii="Arial" w:hAnsi="Arial" w:cs="Arial"/>
                <w:sz w:val="21"/>
                <w:szCs w:val="21"/>
              </w:rPr>
              <w:t>3</w:t>
            </w:r>
          </w:p>
        </w:tc>
        <w:tc>
          <w:tcPr>
            <w:tcW w:w="1134" w:type="dxa"/>
          </w:tcPr>
          <w:p w:rsidR="00E24807" w:rsidRPr="005668F0" w:rsidRDefault="00E24807" w:rsidP="00613C2E">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E24807" w:rsidTr="00BF66D4">
        <w:tc>
          <w:tcPr>
            <w:cnfStyle w:val="001000000000" w:firstRow="0" w:lastRow="0" w:firstColumn="1" w:lastColumn="0" w:oddVBand="0" w:evenVBand="0" w:oddHBand="0" w:evenHBand="0" w:firstRowFirstColumn="0" w:firstRowLastColumn="0" w:lastRowFirstColumn="0" w:lastRowLastColumn="0"/>
            <w:tcW w:w="1339" w:type="dxa"/>
            <w:vMerge/>
          </w:tcPr>
          <w:p w:rsidR="00E24807" w:rsidRPr="005668F0" w:rsidRDefault="00E24807" w:rsidP="001165B0">
            <w:pPr>
              <w:spacing w:before="0" w:beforeAutospacing="0" w:after="0"/>
              <w:jc w:val="center"/>
              <w:rPr>
                <w:rFonts w:ascii="Arial" w:hAnsi="Arial" w:cs="Arial"/>
                <w:sz w:val="21"/>
                <w:szCs w:val="21"/>
              </w:rPr>
            </w:pPr>
          </w:p>
        </w:tc>
        <w:tc>
          <w:tcPr>
            <w:tcW w:w="1460" w:type="dxa"/>
          </w:tcPr>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20</w:t>
            </w:r>
          </w:p>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5</w:t>
            </w:r>
          </w:p>
        </w:tc>
        <w:tc>
          <w:tcPr>
            <w:tcW w:w="1461" w:type="dxa"/>
          </w:tcPr>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27</w:t>
            </w:r>
          </w:p>
          <w:p w:rsidR="00E24807" w:rsidRPr="005668F0" w:rsidRDefault="00E24807" w:rsidP="007A131E">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18</w:t>
            </w:r>
          </w:p>
        </w:tc>
        <w:tc>
          <w:tcPr>
            <w:tcW w:w="1460" w:type="dxa"/>
          </w:tcPr>
          <w:p w:rsidR="00E24807" w:rsidRPr="005668F0" w:rsidRDefault="00E24807" w:rsidP="00E24807">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32</w:t>
            </w:r>
          </w:p>
          <w:p w:rsidR="00E24807" w:rsidRPr="005668F0" w:rsidRDefault="00E24807" w:rsidP="00E24807">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48</w:t>
            </w:r>
          </w:p>
        </w:tc>
        <w:tc>
          <w:tcPr>
            <w:tcW w:w="1461" w:type="dxa"/>
          </w:tcPr>
          <w:p w:rsidR="00E24807" w:rsidRPr="005668F0" w:rsidRDefault="00E24807" w:rsidP="00E24807">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54</w:t>
            </w:r>
          </w:p>
          <w:p w:rsidR="00E24807" w:rsidRPr="005668F0" w:rsidRDefault="00E24807" w:rsidP="00E24807">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216</w:t>
            </w:r>
          </w:p>
        </w:tc>
        <w:tc>
          <w:tcPr>
            <w:tcW w:w="1461" w:type="dxa"/>
          </w:tcPr>
          <w:p w:rsidR="00E24807" w:rsidRPr="005668F0" w:rsidRDefault="00E24807" w:rsidP="00E24807">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sidRPr="005668F0">
              <w:rPr>
                <w:rFonts w:ascii="Arial" w:hAnsi="Arial" w:cs="Arial"/>
                <w:sz w:val="13"/>
                <w:szCs w:val="13"/>
              </w:rPr>
              <w:t xml:space="preserve"> 0</w:t>
            </w:r>
          </w:p>
          <w:p w:rsidR="00E24807" w:rsidRPr="005668F0" w:rsidRDefault="00E24807" w:rsidP="00E24807">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15</w:t>
            </w:r>
          </w:p>
        </w:tc>
        <w:tc>
          <w:tcPr>
            <w:tcW w:w="1134" w:type="dxa"/>
          </w:tcPr>
          <w:p w:rsidR="00E24807" w:rsidRPr="005668F0" w:rsidRDefault="00791E88" w:rsidP="00E24807">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Pr>
                <w:rFonts w:ascii="Arial" w:hAnsi="Arial" w:cs="Arial"/>
                <w:sz w:val="13"/>
                <w:szCs w:val="13"/>
                <w:highlight w:val="cyan"/>
              </w:rPr>
              <w:t>30.6</w:t>
            </w:r>
            <w:r w:rsidRPr="00561436">
              <w:rPr>
                <w:rFonts w:ascii="Arial" w:hAnsi="Arial" w:cs="Arial"/>
                <w:sz w:val="13"/>
                <w:szCs w:val="13"/>
                <w:highlight w:val="cyan"/>
              </w:rPr>
              <w:t>%</w:t>
            </w:r>
          </w:p>
        </w:tc>
      </w:tr>
    </w:tbl>
    <w:p w:rsidR="008F41BA" w:rsidRDefault="00461AEB" w:rsidP="008C48B5">
      <w:pPr>
        <w:spacing w:before="60" w:beforeAutospacing="0" w:after="120"/>
      </w:pPr>
      <w:r>
        <w:rPr>
          <w:rFonts w:hint="eastAsia"/>
        </w:rPr>
        <w:t>W</w:t>
      </w:r>
      <w:r>
        <w:t xml:space="preserve">ith regards to the readability, </w:t>
      </w:r>
      <w:r w:rsidR="00165C34">
        <w:t xml:space="preserve">since </w:t>
      </w:r>
      <w:r w:rsidR="001E1255">
        <w:t xml:space="preserve">there will be different number of rows in the table due to the simplification, </w:t>
      </w:r>
      <w:r w:rsidR="00161B17">
        <w:t>it will cause unreadability issue i.e. ambiguity at the boundary of configurations which have different number of rows.</w:t>
      </w:r>
      <w:r w:rsidR="00352089">
        <w:t xml:space="preserve"> Sometimes </w:t>
      </w:r>
      <w:r w:rsidR="00352089">
        <w:rPr>
          <w:rFonts w:hint="eastAsia"/>
        </w:rPr>
        <w:t>it</w:t>
      </w:r>
      <w:r w:rsidR="00352089">
        <w:t xml:space="preserve">’s difficult to differentiate </w:t>
      </w:r>
      <w:r w:rsidR="0034704B">
        <w:t>which configuration the ΔT</w:t>
      </w:r>
      <w:r w:rsidR="0034704B" w:rsidRPr="008D0837">
        <w:rPr>
          <w:vertAlign w:val="subscript"/>
        </w:rPr>
        <w:t>IB,c</w:t>
      </w:r>
      <w:r w:rsidR="0034704B">
        <w:t xml:space="preserve"> or ΔR</w:t>
      </w:r>
      <w:r w:rsidR="0034704B" w:rsidRPr="008D0837">
        <w:rPr>
          <w:vertAlign w:val="subscript"/>
        </w:rPr>
        <w:t>IB,c</w:t>
      </w:r>
      <w:r w:rsidR="0034704B">
        <w:t xml:space="preserve"> value belongs </w:t>
      </w:r>
      <w:r w:rsidR="00352089">
        <w:t xml:space="preserve">to </w:t>
      </w:r>
      <w:r w:rsidR="0034704B">
        <w:t>(see Fig 3).</w:t>
      </w:r>
    </w:p>
    <w:p w:rsidR="00461AEB" w:rsidRDefault="00165C34" w:rsidP="00165C34">
      <w:pPr>
        <w:jc w:val="center"/>
      </w:pPr>
      <w:r w:rsidRPr="00165C34">
        <w:rPr>
          <w:noProof/>
        </w:rPr>
        <w:drawing>
          <wp:inline distT="0" distB="0" distL="0" distR="0" wp14:anchorId="172244C1" wp14:editId="5AAC85DE">
            <wp:extent cx="5112013" cy="23115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12013" cy="2311519"/>
                    </a:xfrm>
                    <a:prstGeom prst="rect">
                      <a:avLst/>
                    </a:prstGeom>
                  </pic:spPr>
                </pic:pic>
              </a:graphicData>
            </a:graphic>
          </wp:inline>
        </w:drawing>
      </w:r>
    </w:p>
    <w:p w:rsidR="00165C34" w:rsidRPr="00E16EE0" w:rsidRDefault="00165C34" w:rsidP="00352089">
      <w:pPr>
        <w:spacing w:before="0" w:beforeAutospacing="0" w:afterLines="50" w:after="120"/>
        <w:jc w:val="center"/>
        <w:rPr>
          <w:sz w:val="21"/>
          <w:szCs w:val="21"/>
        </w:rPr>
      </w:pPr>
      <w:r>
        <w:rPr>
          <w:sz w:val="21"/>
          <w:szCs w:val="21"/>
        </w:rPr>
        <w:t>Fig 3</w:t>
      </w:r>
      <w:r w:rsidRPr="00E16EE0">
        <w:rPr>
          <w:sz w:val="21"/>
          <w:szCs w:val="21"/>
        </w:rPr>
        <w:t xml:space="preserve"> </w:t>
      </w:r>
      <w:r w:rsidR="00161B17">
        <w:rPr>
          <w:sz w:val="21"/>
          <w:szCs w:val="21"/>
        </w:rPr>
        <w:t>Readability of solution “</w:t>
      </w:r>
      <w:r w:rsidR="00161B17" w:rsidRPr="00161B17">
        <w:rPr>
          <w:i/>
          <w:sz w:val="21"/>
          <w:szCs w:val="21"/>
        </w:rPr>
        <w:t>Option 1</w:t>
      </w:r>
      <w:r w:rsidR="00161B17">
        <w:rPr>
          <w:sz w:val="21"/>
          <w:szCs w:val="21"/>
        </w:rPr>
        <w:t>”</w:t>
      </w:r>
    </w:p>
    <w:p w:rsidR="00352089" w:rsidRDefault="00352089" w:rsidP="00352089">
      <w:pPr>
        <w:pStyle w:val="af"/>
        <w:numPr>
          <w:ilvl w:val="0"/>
          <w:numId w:val="25"/>
        </w:numPr>
        <w:ind w:firstLineChars="0"/>
      </w:pPr>
      <w:r>
        <w:rPr>
          <w:rFonts w:hint="eastAsia"/>
        </w:rPr>
        <w:t>A</w:t>
      </w:r>
      <w:r>
        <w:t>bout “</w:t>
      </w:r>
      <w:r w:rsidRPr="008D0837">
        <w:rPr>
          <w:b/>
          <w:i/>
          <w:u w:val="single"/>
        </w:rPr>
        <w:t xml:space="preserve">Option </w:t>
      </w:r>
      <w:r>
        <w:rPr>
          <w:b/>
          <w:i/>
          <w:u w:val="single"/>
        </w:rPr>
        <w:t>2</w:t>
      </w:r>
      <w:r>
        <w:t>”</w:t>
      </w:r>
    </w:p>
    <w:p w:rsidR="00165C34" w:rsidRPr="00165C34" w:rsidRDefault="00352089" w:rsidP="008C48B5">
      <w:pPr>
        <w:spacing w:before="0" w:beforeAutospacing="0" w:after="120"/>
      </w:pPr>
      <w:r>
        <w:t xml:space="preserve">Regarding to the optimization solution </w:t>
      </w:r>
      <w:r w:rsidRPr="008D0837">
        <w:rPr>
          <w:b/>
        </w:rPr>
        <w:t>“</w:t>
      </w:r>
      <w:r w:rsidRPr="008D0837">
        <w:rPr>
          <w:b/>
          <w:i/>
          <w:u w:val="single"/>
        </w:rPr>
        <w:t xml:space="preserve">Option </w:t>
      </w:r>
      <w:r>
        <w:rPr>
          <w:b/>
          <w:i/>
          <w:u w:val="single"/>
        </w:rPr>
        <w:t>2</w:t>
      </w:r>
      <w:r w:rsidRPr="008D0837">
        <w:rPr>
          <w:b/>
        </w:rPr>
        <w:t>”</w:t>
      </w:r>
      <w:r>
        <w:t xml:space="preserve">, </w:t>
      </w:r>
      <w:r w:rsidR="00B77BE0">
        <w:t>it simplifies ΔT</w:t>
      </w:r>
      <w:r w:rsidR="00B77BE0" w:rsidRPr="008D0837">
        <w:rPr>
          <w:vertAlign w:val="subscript"/>
        </w:rPr>
        <w:t>IB,c</w:t>
      </w:r>
      <w:r w:rsidR="00B77BE0">
        <w:t xml:space="preserve"> or ΔR</w:t>
      </w:r>
      <w:r w:rsidR="00B77BE0" w:rsidRPr="008D0837">
        <w:rPr>
          <w:vertAlign w:val="subscript"/>
        </w:rPr>
        <w:t>IB,c</w:t>
      </w:r>
      <w:r w:rsidR="00B77BE0">
        <w:t xml:space="preserve"> value</w:t>
      </w:r>
      <w:r w:rsidR="00295E6A">
        <w:t>s</w:t>
      </w:r>
      <w:r w:rsidR="008C48B5">
        <w:t xml:space="preserve"> </w:t>
      </w:r>
      <w:r w:rsidR="00295E6A">
        <w:t xml:space="preserve">within only one row </w:t>
      </w:r>
      <w:r w:rsidR="008C48B5">
        <w:t xml:space="preserve">for </w:t>
      </w:r>
      <w:r w:rsidR="00295E6A">
        <w:t>each</w:t>
      </w:r>
      <w:r w:rsidR="008C48B5">
        <w:t xml:space="preserve"> configuration. </w:t>
      </w:r>
      <w:r w:rsidR="00295E6A">
        <w:t xml:space="preserve">The total </w:t>
      </w:r>
      <w:r w:rsidR="00BF66D4">
        <w:t xml:space="preserve">row </w:t>
      </w:r>
      <w:r w:rsidR="00295E6A">
        <w:t>reduced ratio is much higher than “</w:t>
      </w:r>
      <w:r w:rsidR="00295E6A" w:rsidRPr="00295E6A">
        <w:rPr>
          <w:b/>
          <w:i/>
          <w:u w:val="single"/>
        </w:rPr>
        <w:t>Option 1</w:t>
      </w:r>
      <w:r w:rsidR="00295E6A">
        <w:t>”.</w:t>
      </w:r>
    </w:p>
    <w:p w:rsidR="008C48B5" w:rsidRDefault="007505F4" w:rsidP="008C48B5">
      <w:pPr>
        <w:spacing w:before="0" w:beforeAutospacing="0" w:after="120"/>
        <w:jc w:val="center"/>
        <w:rPr>
          <w:sz w:val="21"/>
          <w:szCs w:val="21"/>
        </w:rPr>
      </w:pPr>
      <w:r>
        <w:rPr>
          <w:sz w:val="21"/>
          <w:szCs w:val="21"/>
        </w:rPr>
        <w:t>Table 2</w:t>
      </w:r>
      <w:r w:rsidR="008C48B5" w:rsidRPr="00E85DBC">
        <w:rPr>
          <w:sz w:val="21"/>
          <w:szCs w:val="21"/>
        </w:rPr>
        <w:t xml:space="preserve">  </w:t>
      </w:r>
      <w:r>
        <w:rPr>
          <w:sz w:val="21"/>
          <w:szCs w:val="21"/>
        </w:rPr>
        <w:t>Reduction</w:t>
      </w:r>
      <w:r w:rsidR="008C48B5">
        <w:rPr>
          <w:sz w:val="21"/>
          <w:szCs w:val="21"/>
        </w:rPr>
        <w:t xml:space="preserve"> of </w:t>
      </w:r>
      <w:r w:rsidR="008C48B5" w:rsidRPr="009D3BAD">
        <w:rPr>
          <w:sz w:val="21"/>
          <w:szCs w:val="21"/>
        </w:rPr>
        <w:t>ΔT</w:t>
      </w:r>
      <w:r w:rsidR="008C48B5" w:rsidRPr="009D3BAD">
        <w:rPr>
          <w:sz w:val="21"/>
          <w:szCs w:val="21"/>
          <w:vertAlign w:val="subscript"/>
        </w:rPr>
        <w:t>IB,c</w:t>
      </w:r>
      <w:r w:rsidR="008C48B5" w:rsidRPr="009D3BAD">
        <w:rPr>
          <w:sz w:val="21"/>
          <w:szCs w:val="21"/>
        </w:rPr>
        <w:t xml:space="preserve"> </w:t>
      </w:r>
      <w:r w:rsidR="008C48B5">
        <w:rPr>
          <w:sz w:val="21"/>
          <w:szCs w:val="21"/>
        </w:rPr>
        <w:t>by using solution “</w:t>
      </w:r>
      <w:r w:rsidR="008C48B5" w:rsidRPr="009D3BAD">
        <w:rPr>
          <w:i/>
          <w:sz w:val="21"/>
          <w:szCs w:val="21"/>
        </w:rPr>
        <w:t xml:space="preserve">Option </w:t>
      </w:r>
      <w:r w:rsidR="00A45AE1">
        <w:rPr>
          <w:i/>
          <w:sz w:val="21"/>
          <w:szCs w:val="21"/>
        </w:rPr>
        <w:t>2</w:t>
      </w:r>
      <w:r w:rsidR="008C48B5">
        <w:rPr>
          <w:sz w:val="21"/>
          <w:szCs w:val="21"/>
        </w:rPr>
        <w:t>”</w:t>
      </w:r>
      <w:r>
        <w:rPr>
          <w:sz w:val="21"/>
          <w:szCs w:val="21"/>
        </w:rPr>
        <w:t xml:space="preserve"> (TS 38.101-3 v17.0.0)</w:t>
      </w:r>
    </w:p>
    <w:tbl>
      <w:tblPr>
        <w:tblStyle w:val="4-6"/>
        <w:tblW w:w="0" w:type="auto"/>
        <w:tblLook w:val="04A0" w:firstRow="1" w:lastRow="0" w:firstColumn="1" w:lastColumn="0" w:noHBand="0" w:noVBand="1"/>
      </w:tblPr>
      <w:tblGrid>
        <w:gridCol w:w="1338"/>
        <w:gridCol w:w="2872"/>
        <w:gridCol w:w="2873"/>
        <w:gridCol w:w="2268"/>
      </w:tblGrid>
      <w:tr w:rsidR="00594E29" w:rsidTr="00BF66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tcPr>
          <w:p w:rsidR="00594E29" w:rsidRPr="005668F0" w:rsidRDefault="00594E29" w:rsidP="00A822F3">
            <w:pPr>
              <w:spacing w:after="0"/>
              <w:jc w:val="center"/>
              <w:rPr>
                <w:rFonts w:ascii="Arial" w:hAnsi="Arial" w:cs="Arial"/>
                <w:sz w:val="18"/>
                <w:szCs w:val="18"/>
              </w:rPr>
            </w:pPr>
            <w:r w:rsidRPr="005668F0">
              <w:rPr>
                <w:rFonts w:ascii="Arial" w:hAnsi="Arial" w:cs="Arial"/>
                <w:sz w:val="18"/>
                <w:szCs w:val="18"/>
              </w:rPr>
              <w:t>EN-DC</w:t>
            </w:r>
          </w:p>
        </w:tc>
        <w:tc>
          <w:tcPr>
            <w:tcW w:w="5745" w:type="dxa"/>
            <w:gridSpan w:val="2"/>
          </w:tcPr>
          <w:p w:rsidR="00594E29" w:rsidRPr="0025432B" w:rsidRDefault="00594E29" w:rsidP="00A822F3">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25432B">
              <w:rPr>
                <w:rFonts w:ascii="Arial" w:hAnsi="Arial" w:cs="Arial"/>
                <w:sz w:val="18"/>
                <w:szCs w:val="18"/>
              </w:rPr>
              <w:t xml:space="preserve">All configurations </w:t>
            </w:r>
            <w:r w:rsidR="00A920E3">
              <w:rPr>
                <w:rFonts w:ascii="Arial" w:hAnsi="Arial" w:cs="Arial"/>
                <w:sz w:val="18"/>
                <w:szCs w:val="18"/>
              </w:rPr>
              <w:t xml:space="preserve">no matter </w:t>
            </w:r>
            <w:r w:rsidRPr="0025432B">
              <w:rPr>
                <w:rFonts w:ascii="Arial" w:hAnsi="Arial" w:cs="Arial"/>
                <w:sz w:val="18"/>
                <w:szCs w:val="18"/>
              </w:rPr>
              <w:t xml:space="preserve">with same or different </w:t>
            </w:r>
            <w:r w:rsidRPr="0025432B">
              <w:rPr>
                <w:rFonts w:ascii="Arial" w:hAnsi="Arial" w:cs="Arial"/>
                <w:sz w:val="21"/>
                <w:szCs w:val="21"/>
              </w:rPr>
              <w:t>ΔT</w:t>
            </w:r>
            <w:r w:rsidRPr="0025432B">
              <w:rPr>
                <w:rFonts w:ascii="Arial" w:hAnsi="Arial" w:cs="Arial"/>
                <w:sz w:val="21"/>
                <w:szCs w:val="21"/>
                <w:vertAlign w:val="subscript"/>
              </w:rPr>
              <w:t>IB,c</w:t>
            </w:r>
            <w:r w:rsidRPr="0025432B">
              <w:rPr>
                <w:rFonts w:ascii="Arial" w:hAnsi="Arial" w:cs="Arial"/>
                <w:sz w:val="18"/>
                <w:szCs w:val="18"/>
              </w:rPr>
              <w:t xml:space="preserve"> values</w:t>
            </w:r>
          </w:p>
        </w:tc>
        <w:tc>
          <w:tcPr>
            <w:tcW w:w="2268" w:type="dxa"/>
          </w:tcPr>
          <w:p w:rsidR="00594E29" w:rsidRPr="005668F0" w:rsidRDefault="00594E29" w:rsidP="00A822F3">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hint="eastAsia"/>
                <w:sz w:val="18"/>
                <w:szCs w:val="18"/>
              </w:rPr>
              <w:t>T</w:t>
            </w:r>
            <w:r>
              <w:rPr>
                <w:rFonts w:ascii="Arial" w:hAnsi="Arial" w:cs="Arial"/>
                <w:sz w:val="18"/>
                <w:szCs w:val="18"/>
              </w:rPr>
              <w:t xml:space="preserve">otal </w:t>
            </w:r>
            <w:r w:rsidR="00BF66D4">
              <w:rPr>
                <w:rFonts w:ascii="Arial" w:hAnsi="Arial" w:cs="Arial"/>
                <w:sz w:val="18"/>
                <w:szCs w:val="18"/>
              </w:rPr>
              <w:t xml:space="preserve">row </w:t>
            </w:r>
            <w:r>
              <w:rPr>
                <w:rFonts w:ascii="Arial" w:hAnsi="Arial" w:cs="Arial"/>
                <w:sz w:val="18"/>
                <w:szCs w:val="18"/>
              </w:rPr>
              <w:t>reduced ratio</w:t>
            </w:r>
          </w:p>
        </w:tc>
      </w:tr>
      <w:tr w:rsidR="00594E29"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vMerge w:val="restart"/>
            <w:vAlign w:val="center"/>
          </w:tcPr>
          <w:p w:rsidR="00594E29" w:rsidRPr="005668F0" w:rsidRDefault="00594E29" w:rsidP="00594E29">
            <w:pPr>
              <w:spacing w:before="0" w:beforeAutospacing="0" w:after="0"/>
              <w:jc w:val="center"/>
              <w:rPr>
                <w:rFonts w:ascii="Arial" w:hAnsi="Arial" w:cs="Arial"/>
                <w:sz w:val="18"/>
                <w:szCs w:val="18"/>
              </w:rPr>
            </w:pPr>
            <w:r w:rsidRPr="005668F0">
              <w:rPr>
                <w:rFonts w:ascii="Arial" w:hAnsi="Arial" w:cs="Arial"/>
                <w:sz w:val="18"/>
                <w:szCs w:val="18"/>
              </w:rPr>
              <w:t>Two bands</w:t>
            </w:r>
          </w:p>
        </w:tc>
        <w:tc>
          <w:tcPr>
            <w:tcW w:w="5745" w:type="dxa"/>
            <w:gridSpan w:val="2"/>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Pr>
                <w:rFonts w:ascii="Arial" w:hAnsi="Arial" w:cs="Arial"/>
                <w:sz w:val="21"/>
                <w:szCs w:val="21"/>
              </w:rPr>
              <w:t>204</w:t>
            </w:r>
          </w:p>
        </w:tc>
        <w:tc>
          <w:tcPr>
            <w:tcW w:w="2268" w:type="dxa"/>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594E29" w:rsidTr="00BF66D4">
        <w:tc>
          <w:tcPr>
            <w:cnfStyle w:val="001000000000" w:firstRow="0" w:lastRow="0" w:firstColumn="1" w:lastColumn="0" w:oddVBand="0" w:evenVBand="0" w:oddHBand="0" w:evenHBand="0" w:firstRowFirstColumn="0" w:firstRowLastColumn="0" w:lastRowFirstColumn="0" w:lastRowLastColumn="0"/>
            <w:tcW w:w="1338" w:type="dxa"/>
            <w:vMerge/>
            <w:vAlign w:val="center"/>
          </w:tcPr>
          <w:p w:rsidR="00594E29" w:rsidRPr="005668F0" w:rsidRDefault="00594E29" w:rsidP="00594E29">
            <w:pPr>
              <w:spacing w:before="0" w:beforeAutospacing="0" w:after="0"/>
              <w:jc w:val="center"/>
              <w:rPr>
                <w:rFonts w:ascii="Arial" w:hAnsi="Arial" w:cs="Arial"/>
                <w:sz w:val="18"/>
                <w:szCs w:val="18"/>
              </w:rPr>
            </w:pPr>
          </w:p>
        </w:tc>
        <w:tc>
          <w:tcPr>
            <w:tcW w:w="2872"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Pr>
                <w:rFonts w:ascii="Arial" w:hAnsi="Arial" w:cs="Arial"/>
                <w:sz w:val="13"/>
                <w:szCs w:val="13"/>
              </w:rPr>
              <w:t xml:space="preserve"> 204</w:t>
            </w:r>
          </w:p>
        </w:tc>
        <w:tc>
          <w:tcPr>
            <w:tcW w:w="2873"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rPr>
              <w:t>Remaining rows: 204</w:t>
            </w:r>
          </w:p>
        </w:tc>
        <w:tc>
          <w:tcPr>
            <w:tcW w:w="2268"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Pr>
                <w:rFonts w:ascii="Arial" w:hAnsi="Arial" w:cs="Arial"/>
                <w:sz w:val="13"/>
                <w:szCs w:val="13"/>
                <w:highlight w:val="cyan"/>
              </w:rPr>
              <w:t>50</w:t>
            </w:r>
            <w:r w:rsidRPr="00561436">
              <w:rPr>
                <w:rFonts w:ascii="Arial" w:hAnsi="Arial" w:cs="Arial"/>
                <w:sz w:val="13"/>
                <w:szCs w:val="13"/>
                <w:highlight w:val="cyan"/>
              </w:rPr>
              <w:t>%</w:t>
            </w:r>
          </w:p>
        </w:tc>
      </w:tr>
      <w:tr w:rsidR="00594E29"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vMerge w:val="restart"/>
            <w:vAlign w:val="center"/>
          </w:tcPr>
          <w:p w:rsidR="00594E29" w:rsidRPr="005668F0" w:rsidRDefault="00594E29" w:rsidP="00594E29">
            <w:pPr>
              <w:spacing w:before="0" w:beforeAutospacing="0" w:after="0"/>
              <w:jc w:val="center"/>
              <w:rPr>
                <w:rFonts w:ascii="Arial" w:hAnsi="Arial" w:cs="Arial"/>
                <w:sz w:val="18"/>
                <w:szCs w:val="18"/>
              </w:rPr>
            </w:pPr>
            <w:r w:rsidRPr="005668F0">
              <w:rPr>
                <w:rFonts w:ascii="Arial" w:hAnsi="Arial" w:cs="Arial"/>
                <w:sz w:val="18"/>
                <w:szCs w:val="18"/>
              </w:rPr>
              <w:t>Three bands</w:t>
            </w:r>
          </w:p>
        </w:tc>
        <w:tc>
          <w:tcPr>
            <w:tcW w:w="5745" w:type="dxa"/>
            <w:gridSpan w:val="2"/>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Pr>
                <w:rFonts w:ascii="Arial" w:hAnsi="Arial" w:cs="Arial"/>
                <w:sz w:val="21"/>
                <w:szCs w:val="21"/>
              </w:rPr>
              <w:t>362</w:t>
            </w:r>
          </w:p>
        </w:tc>
        <w:tc>
          <w:tcPr>
            <w:tcW w:w="2268" w:type="dxa"/>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594E29" w:rsidTr="00BF66D4">
        <w:tc>
          <w:tcPr>
            <w:cnfStyle w:val="001000000000" w:firstRow="0" w:lastRow="0" w:firstColumn="1" w:lastColumn="0" w:oddVBand="0" w:evenVBand="0" w:oddHBand="0" w:evenHBand="0" w:firstRowFirstColumn="0" w:firstRowLastColumn="0" w:lastRowFirstColumn="0" w:lastRowLastColumn="0"/>
            <w:tcW w:w="1338" w:type="dxa"/>
            <w:vMerge/>
            <w:vAlign w:val="center"/>
          </w:tcPr>
          <w:p w:rsidR="00594E29" w:rsidRPr="005668F0" w:rsidRDefault="00594E29" w:rsidP="00594E29">
            <w:pPr>
              <w:spacing w:before="0" w:beforeAutospacing="0" w:after="0"/>
              <w:jc w:val="center"/>
              <w:rPr>
                <w:rFonts w:ascii="Arial" w:hAnsi="Arial" w:cs="Arial"/>
                <w:sz w:val="18"/>
                <w:szCs w:val="18"/>
              </w:rPr>
            </w:pPr>
          </w:p>
        </w:tc>
        <w:tc>
          <w:tcPr>
            <w:tcW w:w="2872"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Pr>
                <w:rFonts w:ascii="Arial" w:hAnsi="Arial" w:cs="Arial"/>
                <w:sz w:val="13"/>
                <w:szCs w:val="13"/>
              </w:rPr>
              <w:t xml:space="preserve"> 724</w:t>
            </w:r>
          </w:p>
        </w:tc>
        <w:tc>
          <w:tcPr>
            <w:tcW w:w="2873"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Pr>
                <w:rFonts w:ascii="Arial" w:hAnsi="Arial" w:cs="Arial"/>
                <w:sz w:val="13"/>
                <w:szCs w:val="13"/>
              </w:rPr>
              <w:t>Remaining rows: 362</w:t>
            </w:r>
          </w:p>
        </w:tc>
        <w:tc>
          <w:tcPr>
            <w:tcW w:w="2268"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Pr>
                <w:rFonts w:ascii="Arial" w:hAnsi="Arial" w:cs="Arial"/>
                <w:sz w:val="13"/>
                <w:szCs w:val="13"/>
                <w:highlight w:val="cyan"/>
              </w:rPr>
              <w:t>66.7</w:t>
            </w:r>
            <w:r w:rsidRPr="00561436">
              <w:rPr>
                <w:rFonts w:ascii="Arial" w:hAnsi="Arial" w:cs="Arial"/>
                <w:sz w:val="13"/>
                <w:szCs w:val="13"/>
                <w:highlight w:val="cyan"/>
              </w:rPr>
              <w:t>%</w:t>
            </w:r>
          </w:p>
        </w:tc>
      </w:tr>
      <w:tr w:rsidR="00594E29"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vMerge w:val="restart"/>
            <w:vAlign w:val="center"/>
          </w:tcPr>
          <w:p w:rsidR="00594E29" w:rsidRPr="005668F0" w:rsidRDefault="00594E29" w:rsidP="00594E29">
            <w:pPr>
              <w:spacing w:before="0" w:beforeAutospacing="0" w:after="0"/>
              <w:jc w:val="center"/>
              <w:rPr>
                <w:rFonts w:ascii="Arial" w:hAnsi="Arial" w:cs="Arial"/>
                <w:sz w:val="18"/>
                <w:szCs w:val="18"/>
              </w:rPr>
            </w:pPr>
            <w:r w:rsidRPr="005668F0">
              <w:rPr>
                <w:rFonts w:ascii="Arial" w:hAnsi="Arial" w:cs="Arial"/>
                <w:sz w:val="18"/>
                <w:szCs w:val="18"/>
              </w:rPr>
              <w:t>Four bands</w:t>
            </w:r>
          </w:p>
        </w:tc>
        <w:tc>
          <w:tcPr>
            <w:tcW w:w="5745" w:type="dxa"/>
            <w:gridSpan w:val="2"/>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Pr>
                <w:rFonts w:ascii="Arial" w:hAnsi="Arial" w:cs="Arial"/>
                <w:sz w:val="21"/>
                <w:szCs w:val="21"/>
              </w:rPr>
              <w:t>287</w:t>
            </w:r>
          </w:p>
        </w:tc>
        <w:tc>
          <w:tcPr>
            <w:tcW w:w="2268" w:type="dxa"/>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594E29" w:rsidTr="00BF66D4">
        <w:tc>
          <w:tcPr>
            <w:cnfStyle w:val="001000000000" w:firstRow="0" w:lastRow="0" w:firstColumn="1" w:lastColumn="0" w:oddVBand="0" w:evenVBand="0" w:oddHBand="0" w:evenHBand="0" w:firstRowFirstColumn="0" w:firstRowLastColumn="0" w:lastRowFirstColumn="0" w:lastRowLastColumn="0"/>
            <w:tcW w:w="1338" w:type="dxa"/>
            <w:vMerge/>
            <w:vAlign w:val="center"/>
          </w:tcPr>
          <w:p w:rsidR="00594E29" w:rsidRPr="005668F0" w:rsidRDefault="00594E29" w:rsidP="00594E29">
            <w:pPr>
              <w:spacing w:before="0" w:beforeAutospacing="0" w:after="0"/>
              <w:jc w:val="center"/>
              <w:rPr>
                <w:rFonts w:ascii="Arial" w:hAnsi="Arial" w:cs="Arial"/>
                <w:sz w:val="18"/>
                <w:szCs w:val="18"/>
              </w:rPr>
            </w:pPr>
          </w:p>
        </w:tc>
        <w:tc>
          <w:tcPr>
            <w:tcW w:w="2872"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Pr>
                <w:rFonts w:ascii="Arial" w:hAnsi="Arial" w:cs="Arial"/>
                <w:sz w:val="13"/>
                <w:szCs w:val="13"/>
              </w:rPr>
              <w:t xml:space="preserve"> 861</w:t>
            </w:r>
          </w:p>
        </w:tc>
        <w:tc>
          <w:tcPr>
            <w:tcW w:w="2873"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Pr>
                <w:rFonts w:ascii="Arial" w:hAnsi="Arial" w:cs="Arial"/>
                <w:sz w:val="13"/>
                <w:szCs w:val="13"/>
              </w:rPr>
              <w:t>Remaining rows: 287</w:t>
            </w:r>
          </w:p>
        </w:tc>
        <w:tc>
          <w:tcPr>
            <w:tcW w:w="2268"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Pr>
                <w:rFonts w:ascii="Arial" w:hAnsi="Arial" w:cs="Arial"/>
                <w:sz w:val="13"/>
                <w:szCs w:val="13"/>
                <w:highlight w:val="cyan"/>
              </w:rPr>
              <w:t>75</w:t>
            </w:r>
            <w:r w:rsidRPr="00561436">
              <w:rPr>
                <w:rFonts w:ascii="Arial" w:hAnsi="Arial" w:cs="Arial"/>
                <w:sz w:val="13"/>
                <w:szCs w:val="13"/>
                <w:highlight w:val="cyan"/>
              </w:rPr>
              <w:t>%</w:t>
            </w:r>
          </w:p>
        </w:tc>
      </w:tr>
      <w:tr w:rsidR="00594E29" w:rsidTr="00BF66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8" w:type="dxa"/>
            <w:vMerge w:val="restart"/>
            <w:vAlign w:val="center"/>
          </w:tcPr>
          <w:p w:rsidR="00594E29" w:rsidRPr="005668F0" w:rsidRDefault="00594E29" w:rsidP="00594E29">
            <w:pPr>
              <w:spacing w:before="0" w:beforeAutospacing="0" w:after="0"/>
              <w:jc w:val="center"/>
              <w:rPr>
                <w:rFonts w:ascii="Arial" w:hAnsi="Arial" w:cs="Arial"/>
                <w:sz w:val="18"/>
                <w:szCs w:val="18"/>
              </w:rPr>
            </w:pPr>
            <w:r w:rsidRPr="005668F0">
              <w:rPr>
                <w:rFonts w:ascii="Arial" w:hAnsi="Arial" w:cs="Arial"/>
                <w:sz w:val="18"/>
                <w:szCs w:val="18"/>
              </w:rPr>
              <w:t>Five bands</w:t>
            </w:r>
          </w:p>
        </w:tc>
        <w:tc>
          <w:tcPr>
            <w:tcW w:w="5745" w:type="dxa"/>
            <w:gridSpan w:val="2"/>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r>
              <w:rPr>
                <w:rFonts w:ascii="Arial" w:hAnsi="Arial" w:cs="Arial"/>
                <w:sz w:val="21"/>
                <w:szCs w:val="21"/>
              </w:rPr>
              <w:t>87</w:t>
            </w:r>
          </w:p>
        </w:tc>
        <w:tc>
          <w:tcPr>
            <w:tcW w:w="2268" w:type="dxa"/>
          </w:tcPr>
          <w:p w:rsidR="00594E29" w:rsidRPr="005668F0" w:rsidRDefault="00594E29" w:rsidP="00A822F3">
            <w:pPr>
              <w:spacing w:before="0" w:beforeAutospacing="0"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1"/>
                <w:szCs w:val="21"/>
              </w:rPr>
            </w:pPr>
          </w:p>
        </w:tc>
      </w:tr>
      <w:tr w:rsidR="00594E29" w:rsidTr="00BF66D4">
        <w:tc>
          <w:tcPr>
            <w:cnfStyle w:val="001000000000" w:firstRow="0" w:lastRow="0" w:firstColumn="1" w:lastColumn="0" w:oddVBand="0" w:evenVBand="0" w:oddHBand="0" w:evenHBand="0" w:firstRowFirstColumn="0" w:firstRowLastColumn="0" w:lastRowFirstColumn="0" w:lastRowLastColumn="0"/>
            <w:tcW w:w="1338" w:type="dxa"/>
            <w:vMerge/>
          </w:tcPr>
          <w:p w:rsidR="00594E29" w:rsidRPr="005668F0" w:rsidRDefault="00594E29" w:rsidP="00A822F3">
            <w:pPr>
              <w:spacing w:before="0" w:beforeAutospacing="0" w:after="0"/>
              <w:jc w:val="center"/>
              <w:rPr>
                <w:rFonts w:ascii="Arial" w:hAnsi="Arial" w:cs="Arial"/>
                <w:sz w:val="21"/>
                <w:szCs w:val="21"/>
              </w:rPr>
            </w:pPr>
          </w:p>
        </w:tc>
        <w:tc>
          <w:tcPr>
            <w:tcW w:w="2872"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sidRPr="005668F0">
              <w:rPr>
                <w:rFonts w:ascii="Arial" w:hAnsi="Arial" w:cs="Arial"/>
                <w:sz w:val="13"/>
                <w:szCs w:val="13"/>
                <w:highlight w:val="lightGray"/>
              </w:rPr>
              <w:t>Reduced rows:</w:t>
            </w:r>
            <w:r>
              <w:rPr>
                <w:rFonts w:ascii="Arial" w:hAnsi="Arial" w:cs="Arial"/>
                <w:sz w:val="13"/>
                <w:szCs w:val="13"/>
              </w:rPr>
              <w:t xml:space="preserve"> 348</w:t>
            </w:r>
          </w:p>
        </w:tc>
        <w:tc>
          <w:tcPr>
            <w:tcW w:w="2873"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rPr>
            </w:pPr>
            <w:r>
              <w:rPr>
                <w:rFonts w:ascii="Arial" w:hAnsi="Arial" w:cs="Arial"/>
                <w:sz w:val="13"/>
                <w:szCs w:val="13"/>
              </w:rPr>
              <w:t>Remaining rows: 87</w:t>
            </w:r>
          </w:p>
        </w:tc>
        <w:tc>
          <w:tcPr>
            <w:tcW w:w="2268" w:type="dxa"/>
          </w:tcPr>
          <w:p w:rsidR="00594E29" w:rsidRPr="005668F0" w:rsidRDefault="00594E29" w:rsidP="00A822F3">
            <w:pPr>
              <w:spacing w:before="0" w:beforeAutospacing="0"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3"/>
                <w:szCs w:val="13"/>
                <w:highlight w:val="lightGray"/>
              </w:rPr>
            </w:pPr>
            <w:r>
              <w:rPr>
                <w:rFonts w:ascii="Arial" w:hAnsi="Arial" w:cs="Arial"/>
                <w:sz w:val="13"/>
                <w:szCs w:val="13"/>
                <w:highlight w:val="cyan"/>
              </w:rPr>
              <w:t>80</w:t>
            </w:r>
            <w:r w:rsidRPr="00561436">
              <w:rPr>
                <w:rFonts w:ascii="Arial" w:hAnsi="Arial" w:cs="Arial"/>
                <w:sz w:val="13"/>
                <w:szCs w:val="13"/>
                <w:highlight w:val="cyan"/>
              </w:rPr>
              <w:t>%</w:t>
            </w:r>
          </w:p>
        </w:tc>
      </w:tr>
    </w:tbl>
    <w:p w:rsidR="008C48B5" w:rsidRDefault="009738B5" w:rsidP="00A97026">
      <w:r>
        <w:rPr>
          <w:rFonts w:hint="eastAsia"/>
        </w:rPr>
        <w:t>A</w:t>
      </w:r>
      <w:r>
        <w:t xml:space="preserve">s for readability, </w:t>
      </w:r>
      <w:r w:rsidR="00814537">
        <w:t>since “</w:t>
      </w:r>
      <w:r w:rsidR="00814537" w:rsidRPr="00814537">
        <w:rPr>
          <w:b/>
          <w:i/>
          <w:u w:val="single"/>
        </w:rPr>
        <w:t>Option 2</w:t>
      </w:r>
      <w:r w:rsidR="00814537">
        <w:t>” has only one row in the table for each configuration, and the ΔT</w:t>
      </w:r>
      <w:r w:rsidR="00814537" w:rsidRPr="008D0837">
        <w:rPr>
          <w:vertAlign w:val="subscript"/>
        </w:rPr>
        <w:t>IB,c</w:t>
      </w:r>
      <w:r w:rsidR="00814537">
        <w:t xml:space="preserve"> value will be interlaced one row after another. The readability </w:t>
      </w:r>
      <w:r w:rsidR="004C2B71">
        <w:t>for “</w:t>
      </w:r>
      <w:r w:rsidR="004C2B71" w:rsidRPr="00814537">
        <w:rPr>
          <w:b/>
          <w:i/>
          <w:u w:val="single"/>
        </w:rPr>
        <w:t>Option 2</w:t>
      </w:r>
      <w:r w:rsidR="004C2B71">
        <w:t xml:space="preserve">” </w:t>
      </w:r>
      <w:r w:rsidR="00814537">
        <w:t>will be much better than “</w:t>
      </w:r>
      <w:r w:rsidR="00814537" w:rsidRPr="00814537">
        <w:rPr>
          <w:b/>
          <w:i/>
          <w:u w:val="single"/>
        </w:rPr>
        <w:t>Option 1</w:t>
      </w:r>
      <w:r w:rsidR="00814537">
        <w:t>”.</w:t>
      </w:r>
    </w:p>
    <w:p w:rsidR="008C48B5" w:rsidRDefault="008C48B5" w:rsidP="00A97026"/>
    <w:p w:rsidR="00D8104B" w:rsidRDefault="009738B5" w:rsidP="009738B5">
      <w:pPr>
        <w:jc w:val="center"/>
      </w:pPr>
      <w:r w:rsidRPr="009738B5">
        <w:rPr>
          <w:noProof/>
        </w:rPr>
        <w:drawing>
          <wp:inline distT="0" distB="0" distL="0" distR="0" wp14:anchorId="3EAFAD9D" wp14:editId="086681E8">
            <wp:extent cx="4540483" cy="2165461"/>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0483" cy="2165461"/>
                    </a:xfrm>
                    <a:prstGeom prst="rect">
                      <a:avLst/>
                    </a:prstGeom>
                  </pic:spPr>
                </pic:pic>
              </a:graphicData>
            </a:graphic>
          </wp:inline>
        </w:drawing>
      </w:r>
    </w:p>
    <w:p w:rsidR="009738B5" w:rsidRPr="00E16EE0" w:rsidRDefault="009738B5" w:rsidP="009738B5">
      <w:pPr>
        <w:spacing w:before="0" w:beforeAutospacing="0" w:afterLines="50" w:after="120"/>
        <w:jc w:val="center"/>
        <w:rPr>
          <w:sz w:val="21"/>
          <w:szCs w:val="21"/>
        </w:rPr>
      </w:pPr>
      <w:r>
        <w:rPr>
          <w:sz w:val="21"/>
          <w:szCs w:val="21"/>
        </w:rPr>
        <w:t>Fig 4</w:t>
      </w:r>
      <w:r w:rsidRPr="00E16EE0">
        <w:rPr>
          <w:sz w:val="21"/>
          <w:szCs w:val="21"/>
        </w:rPr>
        <w:t xml:space="preserve"> </w:t>
      </w:r>
      <w:r>
        <w:rPr>
          <w:sz w:val="21"/>
          <w:szCs w:val="21"/>
        </w:rPr>
        <w:t>Readability of solution “</w:t>
      </w:r>
      <w:r w:rsidRPr="00161B17">
        <w:rPr>
          <w:i/>
          <w:sz w:val="21"/>
          <w:szCs w:val="21"/>
        </w:rPr>
        <w:t xml:space="preserve">Option </w:t>
      </w:r>
      <w:r>
        <w:rPr>
          <w:i/>
          <w:sz w:val="21"/>
          <w:szCs w:val="21"/>
        </w:rPr>
        <w:t>2</w:t>
      </w:r>
      <w:r>
        <w:rPr>
          <w:sz w:val="21"/>
          <w:szCs w:val="21"/>
        </w:rPr>
        <w:t>”</w:t>
      </w:r>
    </w:p>
    <w:p w:rsidR="00BF66D4" w:rsidRDefault="002F7D9A" w:rsidP="002F7D9A">
      <w:pPr>
        <w:rPr>
          <w:b/>
        </w:rPr>
      </w:pPr>
      <w:r>
        <w:rPr>
          <w:b/>
        </w:rPr>
        <w:t>Observation 1:</w:t>
      </w:r>
      <w:r>
        <w:rPr>
          <w:b/>
        </w:rPr>
        <w:tab/>
        <w:t xml:space="preserve"> </w:t>
      </w:r>
      <w:r w:rsidR="00FE3BA8">
        <w:rPr>
          <w:b/>
        </w:rPr>
        <w:t xml:space="preserve">The total </w:t>
      </w:r>
      <w:r w:rsidR="00BF66D4">
        <w:rPr>
          <w:b/>
        </w:rPr>
        <w:t xml:space="preserve">row </w:t>
      </w:r>
      <w:r w:rsidR="00FE3BA8">
        <w:rPr>
          <w:b/>
        </w:rPr>
        <w:t xml:space="preserve">reduced ratio for </w:t>
      </w:r>
      <w:r w:rsidR="00FE3BA8" w:rsidRPr="00FE3BA8">
        <w:rPr>
          <w:b/>
        </w:rPr>
        <w:t>ΔT</w:t>
      </w:r>
      <w:r w:rsidR="00FE3BA8" w:rsidRPr="00FE3BA8">
        <w:rPr>
          <w:b/>
          <w:vertAlign w:val="subscript"/>
        </w:rPr>
        <w:t>IB,c</w:t>
      </w:r>
      <w:r w:rsidR="00FE3BA8" w:rsidRPr="00FE3BA8">
        <w:rPr>
          <w:b/>
        </w:rPr>
        <w:t xml:space="preserve"> and ΔR</w:t>
      </w:r>
      <w:r w:rsidR="00FE3BA8" w:rsidRPr="00FE3BA8">
        <w:rPr>
          <w:b/>
          <w:vertAlign w:val="subscript"/>
        </w:rPr>
        <w:t xml:space="preserve">IB,c </w:t>
      </w:r>
      <w:r w:rsidR="00FE3BA8" w:rsidRPr="00FE3BA8">
        <w:rPr>
          <w:b/>
        </w:rPr>
        <w:t xml:space="preserve">tables </w:t>
      </w:r>
      <w:r w:rsidR="00FE3BA8">
        <w:rPr>
          <w:b/>
        </w:rPr>
        <w:t>by using solution “</w:t>
      </w:r>
      <w:r w:rsidR="00FE3BA8" w:rsidRPr="00BF66D4">
        <w:rPr>
          <w:b/>
          <w:i/>
          <w:u w:val="single"/>
        </w:rPr>
        <w:t>Option 2</w:t>
      </w:r>
      <w:r w:rsidR="004C2B71">
        <w:rPr>
          <w:b/>
        </w:rPr>
        <w:t xml:space="preserve">” is higher than </w:t>
      </w:r>
      <w:r w:rsidR="00FE3BA8">
        <w:rPr>
          <w:b/>
        </w:rPr>
        <w:t>using solution</w:t>
      </w:r>
      <w:r w:rsidR="00BF66D4">
        <w:rPr>
          <w:b/>
        </w:rPr>
        <w:t xml:space="preserve"> “</w:t>
      </w:r>
      <w:r w:rsidR="00BF66D4" w:rsidRPr="00BF66D4">
        <w:rPr>
          <w:b/>
          <w:i/>
          <w:u w:val="single"/>
        </w:rPr>
        <w:t xml:space="preserve">Option </w:t>
      </w:r>
      <w:r w:rsidR="00BF66D4">
        <w:rPr>
          <w:b/>
          <w:i/>
          <w:u w:val="single"/>
        </w:rPr>
        <w:t>1</w:t>
      </w:r>
      <w:r w:rsidR="00BF66D4">
        <w:rPr>
          <w:b/>
        </w:rPr>
        <w:t xml:space="preserve">”. </w:t>
      </w:r>
    </w:p>
    <w:p w:rsidR="002F7D9A" w:rsidRDefault="00BF66D4" w:rsidP="002F7D9A">
      <w:pPr>
        <w:rPr>
          <w:b/>
        </w:rPr>
      </w:pPr>
      <w:r>
        <w:rPr>
          <w:b/>
        </w:rPr>
        <w:t>Observation 2:</w:t>
      </w:r>
      <w:r>
        <w:rPr>
          <w:b/>
        </w:rPr>
        <w:tab/>
        <w:t xml:space="preserve"> </w:t>
      </w:r>
      <w:r w:rsidR="00F20437">
        <w:rPr>
          <w:b/>
        </w:rPr>
        <w:t>Since “</w:t>
      </w:r>
      <w:r w:rsidR="00F20437" w:rsidRPr="00BF66D4">
        <w:rPr>
          <w:b/>
          <w:i/>
          <w:u w:val="single"/>
        </w:rPr>
        <w:t>Option 2</w:t>
      </w:r>
      <w:r w:rsidR="00F20437">
        <w:rPr>
          <w:b/>
        </w:rPr>
        <w:t>” has a fixed interval for each configuration with only one row in the table, the readability of “</w:t>
      </w:r>
      <w:r w:rsidR="00F20437" w:rsidRPr="00BF66D4">
        <w:rPr>
          <w:b/>
          <w:i/>
          <w:u w:val="single"/>
        </w:rPr>
        <w:t>Option 2</w:t>
      </w:r>
      <w:r w:rsidR="00F20437">
        <w:rPr>
          <w:b/>
        </w:rPr>
        <w:t>” will be better than “</w:t>
      </w:r>
      <w:r w:rsidR="00F20437" w:rsidRPr="00F20437">
        <w:rPr>
          <w:b/>
          <w:i/>
          <w:u w:val="single"/>
        </w:rPr>
        <w:t>Option 1</w:t>
      </w:r>
      <w:r w:rsidR="00F20437">
        <w:rPr>
          <w:b/>
        </w:rPr>
        <w:t>” to some extent.</w:t>
      </w:r>
    </w:p>
    <w:p w:rsidR="009738B5" w:rsidRDefault="001F6633" w:rsidP="009738B5">
      <w:r>
        <w:t xml:space="preserve">To further simplify the </w:t>
      </w:r>
      <w:r w:rsidR="00FE3BA8">
        <w:t>ΔT</w:t>
      </w:r>
      <w:r w:rsidR="00FE3BA8" w:rsidRPr="00B57417">
        <w:rPr>
          <w:vertAlign w:val="subscript"/>
        </w:rPr>
        <w:t>IB</w:t>
      </w:r>
      <w:r w:rsidR="00FE3BA8">
        <w:rPr>
          <w:vertAlign w:val="subscript"/>
        </w:rPr>
        <w:t>,c</w:t>
      </w:r>
      <w:r w:rsidR="00FE3BA8">
        <w:t xml:space="preserve"> and ΔR</w:t>
      </w:r>
      <w:r w:rsidR="00FE3BA8" w:rsidRPr="00B57417">
        <w:rPr>
          <w:vertAlign w:val="subscript"/>
        </w:rPr>
        <w:t>IB</w:t>
      </w:r>
      <w:r w:rsidR="00FE3BA8">
        <w:rPr>
          <w:vertAlign w:val="subscript"/>
        </w:rPr>
        <w:t xml:space="preserve">,c </w:t>
      </w:r>
      <w:r w:rsidR="00FE3BA8">
        <w:t>tables</w:t>
      </w:r>
      <w:r>
        <w:t xml:space="preserve">, if we look at </w:t>
      </w:r>
      <w:r w:rsidR="004F72C4">
        <w:t>solution “</w:t>
      </w:r>
      <w:r w:rsidR="004F72C4" w:rsidRPr="004F72C4">
        <w:rPr>
          <w:b/>
          <w:i/>
          <w:u w:val="single"/>
        </w:rPr>
        <w:t>Option 2</w:t>
      </w:r>
      <w:r w:rsidR="004F72C4">
        <w:t xml:space="preserve">” in </w:t>
      </w:r>
      <w:r>
        <w:t xml:space="preserve">Fig 4 for 2 bands inter-band EN-DC configuration, we will find just </w:t>
      </w:r>
      <w:r w:rsidR="004F72C4">
        <w:t xml:space="preserve">similar </w:t>
      </w:r>
      <w:r>
        <w:t>as what “</w:t>
      </w:r>
      <w:r w:rsidRPr="001F6633">
        <w:rPr>
          <w:b/>
          <w:i/>
          <w:u w:val="single"/>
        </w:rPr>
        <w:t>Option 1</w:t>
      </w:r>
      <w:r>
        <w:t xml:space="preserve">” </w:t>
      </w:r>
      <w:r w:rsidR="004F72C4">
        <w:t>suggested</w:t>
      </w:r>
      <w:r>
        <w:t>, the repetitive values of the ΔT</w:t>
      </w:r>
      <w:r w:rsidRPr="008D0837">
        <w:rPr>
          <w:vertAlign w:val="subscript"/>
        </w:rPr>
        <w:t>IB,c</w:t>
      </w:r>
      <w:r>
        <w:rPr>
          <w:vertAlign w:val="subscript"/>
        </w:rPr>
        <w:t xml:space="preserve"> </w:t>
      </w:r>
      <w:r>
        <w:t>in the table can also be further simplified.</w:t>
      </w:r>
      <w:r w:rsidR="004F72C4">
        <w:t xml:space="preserve"> Fig 5 shows </w:t>
      </w:r>
      <w:r w:rsidR="00E83E2C">
        <w:t>a</w:t>
      </w:r>
      <w:r w:rsidR="004F72C4">
        <w:t xml:space="preserve"> further simplified solution</w:t>
      </w:r>
      <w:r w:rsidR="00E83E2C">
        <w:t xml:space="preserve"> for</w:t>
      </w:r>
      <w:r w:rsidR="00E83E2C" w:rsidRPr="00E83E2C">
        <w:t xml:space="preserve"> </w:t>
      </w:r>
      <w:r w:rsidR="00E83E2C">
        <w:t>the ΔT</w:t>
      </w:r>
      <w:r w:rsidR="00E83E2C" w:rsidRPr="00B57417">
        <w:rPr>
          <w:vertAlign w:val="subscript"/>
        </w:rPr>
        <w:t>IB</w:t>
      </w:r>
      <w:r w:rsidR="00E83E2C">
        <w:rPr>
          <w:vertAlign w:val="subscript"/>
        </w:rPr>
        <w:t>,c</w:t>
      </w:r>
      <w:r w:rsidR="00E83E2C">
        <w:t xml:space="preserve"> and ΔR</w:t>
      </w:r>
      <w:r w:rsidR="00E83E2C" w:rsidRPr="00B57417">
        <w:rPr>
          <w:vertAlign w:val="subscript"/>
        </w:rPr>
        <w:t>IB</w:t>
      </w:r>
      <w:r w:rsidR="00E83E2C">
        <w:rPr>
          <w:vertAlign w:val="subscript"/>
        </w:rPr>
        <w:t xml:space="preserve">,c </w:t>
      </w:r>
      <w:r w:rsidR="00E83E2C">
        <w:t>tables</w:t>
      </w:r>
      <w:r w:rsidR="004F72C4">
        <w:t xml:space="preserve">, we </w:t>
      </w:r>
      <w:r w:rsidR="004C2B71">
        <w:t>suppose it as</w:t>
      </w:r>
      <w:r w:rsidR="004F72C4">
        <w:t xml:space="preserve"> “</w:t>
      </w:r>
      <w:r w:rsidR="004F72C4" w:rsidRPr="004F72C4">
        <w:rPr>
          <w:b/>
          <w:i/>
          <w:u w:val="single"/>
        </w:rPr>
        <w:t>Option 3</w:t>
      </w:r>
      <w:r w:rsidR="004F72C4">
        <w:t>”.</w:t>
      </w:r>
    </w:p>
    <w:p w:rsidR="004F72C4" w:rsidRDefault="004F72C4" w:rsidP="004F72C4">
      <w:pPr>
        <w:pStyle w:val="af"/>
        <w:numPr>
          <w:ilvl w:val="0"/>
          <w:numId w:val="25"/>
        </w:numPr>
        <w:ind w:firstLineChars="0"/>
      </w:pPr>
      <w:r>
        <w:rPr>
          <w:rFonts w:hint="eastAsia"/>
        </w:rPr>
        <w:t>A</w:t>
      </w:r>
      <w:r>
        <w:t>bout “</w:t>
      </w:r>
      <w:r w:rsidRPr="008D0837">
        <w:rPr>
          <w:b/>
          <w:i/>
          <w:u w:val="single"/>
        </w:rPr>
        <w:t xml:space="preserve">Option </w:t>
      </w:r>
      <w:r>
        <w:rPr>
          <w:b/>
          <w:i/>
          <w:u w:val="single"/>
        </w:rPr>
        <w:t>3</w:t>
      </w:r>
      <w:r>
        <w:t>”</w:t>
      </w:r>
    </w:p>
    <w:p w:rsidR="001F6633" w:rsidRPr="004E3C92" w:rsidRDefault="00E83E2C" w:rsidP="009738B5">
      <w:r>
        <w:t>“</w:t>
      </w:r>
      <w:r w:rsidRPr="00E83E2C">
        <w:rPr>
          <w:b/>
          <w:i/>
          <w:u w:val="single"/>
        </w:rPr>
        <w:t>Option 3</w:t>
      </w:r>
      <w:r>
        <w:t xml:space="preserve">” is an optimized solution based both </w:t>
      </w:r>
      <w:r w:rsidR="004C2B71">
        <w:t xml:space="preserve">on </w:t>
      </w:r>
      <w:r>
        <w:t>“</w:t>
      </w:r>
      <w:r w:rsidRPr="001F6633">
        <w:rPr>
          <w:b/>
          <w:i/>
          <w:u w:val="single"/>
        </w:rPr>
        <w:t>Option 1</w:t>
      </w:r>
      <w:r>
        <w:t>” and “</w:t>
      </w:r>
      <w:r w:rsidRPr="004F72C4">
        <w:rPr>
          <w:b/>
          <w:i/>
          <w:u w:val="single"/>
        </w:rPr>
        <w:t>Option 2</w:t>
      </w:r>
      <w:r w:rsidRPr="00E83E2C">
        <w:t>”. In</w:t>
      </w:r>
      <w:r>
        <w:t xml:space="preserve"> the solution, </w:t>
      </w:r>
      <w:r w:rsidR="004E3C92">
        <w:t>each configuration has only one row, in which the</w:t>
      </w:r>
      <w:r w:rsidR="004E3C92" w:rsidRPr="004E3C92">
        <w:t xml:space="preserve"> ΔT</w:t>
      </w:r>
      <w:r w:rsidR="004E3C92" w:rsidRPr="004E3C92">
        <w:rPr>
          <w:vertAlign w:val="subscript"/>
        </w:rPr>
        <w:t>IB,c</w:t>
      </w:r>
      <w:r w:rsidR="004E3C92" w:rsidRPr="004E3C92">
        <w:t xml:space="preserve"> and ΔR</w:t>
      </w:r>
      <w:r w:rsidR="004E3C92" w:rsidRPr="004E3C92">
        <w:rPr>
          <w:vertAlign w:val="subscript"/>
        </w:rPr>
        <w:t>IB,c</w:t>
      </w:r>
      <w:r w:rsidR="004E3C92">
        <w:rPr>
          <w:vertAlign w:val="subscript"/>
        </w:rPr>
        <w:t xml:space="preserve"> </w:t>
      </w:r>
      <w:r w:rsidR="004E3C92">
        <w:t xml:space="preserve">values </w:t>
      </w:r>
      <w:r w:rsidR="00A822F3">
        <w:t xml:space="preserve">for different bands </w:t>
      </w:r>
      <w:r w:rsidR="004E3C92">
        <w:t xml:space="preserve">will be organized into different columns. Furthermore, if values of </w:t>
      </w:r>
      <w:r w:rsidR="004E3C92" w:rsidRPr="004E3C92">
        <w:t>ΔT</w:t>
      </w:r>
      <w:r w:rsidR="004E3C92" w:rsidRPr="004E3C92">
        <w:rPr>
          <w:vertAlign w:val="subscript"/>
        </w:rPr>
        <w:t>IB,c</w:t>
      </w:r>
      <w:r w:rsidR="004E3C92" w:rsidRPr="004E3C92">
        <w:t xml:space="preserve"> and ΔR</w:t>
      </w:r>
      <w:r w:rsidR="004E3C92" w:rsidRPr="004E3C92">
        <w:rPr>
          <w:vertAlign w:val="subscript"/>
        </w:rPr>
        <w:t>IB,c</w:t>
      </w:r>
      <w:r w:rsidR="004E3C92">
        <w:rPr>
          <w:vertAlign w:val="subscript"/>
        </w:rPr>
        <w:t xml:space="preserve"> </w:t>
      </w:r>
      <w:r w:rsidR="004E3C92">
        <w:t xml:space="preserve">have the same values for different bands, they can be further merged into one column. Let’s take </w:t>
      </w:r>
      <w:r w:rsidR="004E3C92" w:rsidRPr="004E3C92">
        <w:t>ΔT</w:t>
      </w:r>
      <w:r w:rsidR="004E3C92" w:rsidRPr="004E3C92">
        <w:rPr>
          <w:vertAlign w:val="subscript"/>
        </w:rPr>
        <w:t>IB,c</w:t>
      </w:r>
      <w:r w:rsidR="004E3C92" w:rsidRPr="004E3C92">
        <w:t xml:space="preserve"> </w:t>
      </w:r>
      <w:r w:rsidR="004E3C92">
        <w:t>for two bands in Fig 5 as an example.</w:t>
      </w:r>
    </w:p>
    <w:p w:rsidR="00D8104B" w:rsidRDefault="002B6AD0" w:rsidP="002B6AD0">
      <w:pPr>
        <w:jc w:val="center"/>
      </w:pPr>
      <w:r w:rsidRPr="002B6AD0">
        <w:rPr>
          <w:noProof/>
        </w:rPr>
        <w:drawing>
          <wp:inline distT="0" distB="0" distL="0" distR="0" wp14:anchorId="7E12946D" wp14:editId="6FA4BB48">
            <wp:extent cx="4572235" cy="21400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2235" cy="2140060"/>
                    </a:xfrm>
                    <a:prstGeom prst="rect">
                      <a:avLst/>
                    </a:prstGeom>
                  </pic:spPr>
                </pic:pic>
              </a:graphicData>
            </a:graphic>
          </wp:inline>
        </w:drawing>
      </w:r>
    </w:p>
    <w:p w:rsidR="002B6AD0" w:rsidRPr="00E16EE0" w:rsidRDefault="002B6AD0" w:rsidP="002B6AD0">
      <w:pPr>
        <w:spacing w:before="0" w:beforeAutospacing="0" w:afterLines="50" w:after="120"/>
        <w:jc w:val="center"/>
        <w:rPr>
          <w:sz w:val="21"/>
          <w:szCs w:val="21"/>
        </w:rPr>
      </w:pPr>
      <w:r>
        <w:rPr>
          <w:sz w:val="21"/>
          <w:szCs w:val="21"/>
        </w:rPr>
        <w:t>Fig 5</w:t>
      </w:r>
      <w:r w:rsidRPr="00E16EE0">
        <w:rPr>
          <w:sz w:val="21"/>
          <w:szCs w:val="21"/>
        </w:rPr>
        <w:t xml:space="preserve"> </w:t>
      </w:r>
      <w:r>
        <w:rPr>
          <w:sz w:val="21"/>
          <w:szCs w:val="21"/>
        </w:rPr>
        <w:t>Example of solution “</w:t>
      </w:r>
      <w:r w:rsidRPr="00161B17">
        <w:rPr>
          <w:i/>
          <w:sz w:val="21"/>
          <w:szCs w:val="21"/>
        </w:rPr>
        <w:t xml:space="preserve">Option </w:t>
      </w:r>
      <w:r>
        <w:rPr>
          <w:i/>
          <w:sz w:val="21"/>
          <w:szCs w:val="21"/>
        </w:rPr>
        <w:t>3</w:t>
      </w:r>
      <w:r>
        <w:rPr>
          <w:sz w:val="21"/>
          <w:szCs w:val="21"/>
        </w:rPr>
        <w:t>”</w:t>
      </w:r>
    </w:p>
    <w:p w:rsidR="00A822F3" w:rsidRDefault="004D0489" w:rsidP="00A822F3">
      <w:pPr>
        <w:rPr>
          <w:b/>
        </w:rPr>
      </w:pPr>
      <w:r>
        <w:rPr>
          <w:b/>
        </w:rPr>
        <w:lastRenderedPageBreak/>
        <w:t>Observation 3</w:t>
      </w:r>
      <w:r w:rsidR="00A822F3">
        <w:rPr>
          <w:b/>
        </w:rPr>
        <w:t>:</w:t>
      </w:r>
      <w:r w:rsidR="00A822F3">
        <w:rPr>
          <w:b/>
        </w:rPr>
        <w:tab/>
        <w:t xml:space="preserve"> “</w:t>
      </w:r>
      <w:r w:rsidR="00A822F3" w:rsidRPr="00BF66D4">
        <w:rPr>
          <w:b/>
          <w:i/>
          <w:u w:val="single"/>
        </w:rPr>
        <w:t xml:space="preserve">Option </w:t>
      </w:r>
      <w:r w:rsidR="00A822F3">
        <w:rPr>
          <w:b/>
          <w:i/>
          <w:u w:val="single"/>
        </w:rPr>
        <w:t>3</w:t>
      </w:r>
      <w:r w:rsidR="00A822F3">
        <w:rPr>
          <w:b/>
        </w:rPr>
        <w:t xml:space="preserve">” </w:t>
      </w:r>
      <w:r w:rsidR="00BD1748">
        <w:rPr>
          <w:b/>
        </w:rPr>
        <w:t>uses</w:t>
      </w:r>
      <w:r w:rsidR="00A822F3">
        <w:rPr>
          <w:b/>
        </w:rPr>
        <w:t xml:space="preserve"> </w:t>
      </w:r>
      <w:r>
        <w:rPr>
          <w:b/>
        </w:rPr>
        <w:t xml:space="preserve">the format “Band(s) / </w:t>
      </w:r>
      <w:r w:rsidRPr="00FE3BA8">
        <w:rPr>
          <w:b/>
        </w:rPr>
        <w:t>ΔT</w:t>
      </w:r>
      <w:r w:rsidRPr="00FE3BA8">
        <w:rPr>
          <w:b/>
          <w:vertAlign w:val="subscript"/>
        </w:rPr>
        <w:t>IB,c</w:t>
      </w:r>
      <w:r>
        <w:rPr>
          <w:b/>
        </w:rPr>
        <w:t>” or “Band(s) / ΔR</w:t>
      </w:r>
      <w:r w:rsidRPr="00FE3BA8">
        <w:rPr>
          <w:b/>
          <w:vertAlign w:val="subscript"/>
        </w:rPr>
        <w:t>IB,c</w:t>
      </w:r>
      <w:r>
        <w:rPr>
          <w:b/>
        </w:rPr>
        <w:t xml:space="preserve">” </w:t>
      </w:r>
      <w:r w:rsidR="00BD1748">
        <w:rPr>
          <w:b/>
        </w:rPr>
        <w:t xml:space="preserve">to </w:t>
      </w:r>
      <w:r>
        <w:rPr>
          <w:b/>
        </w:rPr>
        <w:t>arrang</w:t>
      </w:r>
      <w:r w:rsidR="00BD1748">
        <w:rPr>
          <w:b/>
        </w:rPr>
        <w:t>e</w:t>
      </w:r>
      <w:r>
        <w:rPr>
          <w:b/>
        </w:rPr>
        <w:t xml:space="preserve"> </w:t>
      </w:r>
      <w:r w:rsidR="00BD1748">
        <w:rPr>
          <w:b/>
        </w:rPr>
        <w:t>in</w:t>
      </w:r>
      <w:r>
        <w:rPr>
          <w:b/>
        </w:rPr>
        <w:t xml:space="preserve"> column</w:t>
      </w:r>
      <w:r w:rsidR="00BD1748">
        <w:rPr>
          <w:b/>
        </w:rPr>
        <w:t>s</w:t>
      </w:r>
      <w:r>
        <w:rPr>
          <w:b/>
        </w:rPr>
        <w:t xml:space="preserve">, and </w:t>
      </w:r>
      <w:r w:rsidR="00BD1748">
        <w:rPr>
          <w:b/>
        </w:rPr>
        <w:t>merges different frequency bands</w:t>
      </w:r>
      <w:r w:rsidR="00C02751">
        <w:rPr>
          <w:b/>
        </w:rPr>
        <w:t xml:space="preserve"> having the same </w:t>
      </w:r>
      <w:r w:rsidR="00BD1748" w:rsidRPr="00FE3BA8">
        <w:rPr>
          <w:b/>
        </w:rPr>
        <w:t>ΔT</w:t>
      </w:r>
      <w:r w:rsidR="00BD1748" w:rsidRPr="00FE3BA8">
        <w:rPr>
          <w:b/>
          <w:vertAlign w:val="subscript"/>
        </w:rPr>
        <w:t>IB,c</w:t>
      </w:r>
      <w:r w:rsidR="00BD1748" w:rsidRPr="00FE3BA8">
        <w:rPr>
          <w:b/>
        </w:rPr>
        <w:t xml:space="preserve"> </w:t>
      </w:r>
      <w:r w:rsidR="00BD1748">
        <w:rPr>
          <w:b/>
        </w:rPr>
        <w:t>or</w:t>
      </w:r>
      <w:r w:rsidR="00BD1748" w:rsidRPr="00FE3BA8">
        <w:rPr>
          <w:b/>
        </w:rPr>
        <w:t xml:space="preserve"> ΔR</w:t>
      </w:r>
      <w:r w:rsidR="00BD1748" w:rsidRPr="00FE3BA8">
        <w:rPr>
          <w:b/>
          <w:vertAlign w:val="subscript"/>
        </w:rPr>
        <w:t>IB,c</w:t>
      </w:r>
      <w:r w:rsidR="00BD1748">
        <w:rPr>
          <w:b/>
        </w:rPr>
        <w:t xml:space="preserve"> </w:t>
      </w:r>
      <w:r w:rsidR="00C02751">
        <w:rPr>
          <w:b/>
        </w:rPr>
        <w:t>values.</w:t>
      </w:r>
      <w:r w:rsidR="00A822F3">
        <w:rPr>
          <w:b/>
        </w:rPr>
        <w:t xml:space="preserve"> </w:t>
      </w:r>
      <w:r w:rsidR="00C02751">
        <w:rPr>
          <w:b/>
        </w:rPr>
        <w:t>Its simplicity and readability are better than those of “</w:t>
      </w:r>
      <w:r w:rsidR="00C02751" w:rsidRPr="00C02751">
        <w:rPr>
          <w:b/>
          <w:i/>
          <w:u w:val="single"/>
        </w:rPr>
        <w:t>Option 1</w:t>
      </w:r>
      <w:r w:rsidR="00C02751">
        <w:rPr>
          <w:b/>
        </w:rPr>
        <w:t>” and “</w:t>
      </w:r>
      <w:r w:rsidR="00C02751" w:rsidRPr="00C02751">
        <w:rPr>
          <w:b/>
          <w:i/>
          <w:u w:val="single"/>
        </w:rPr>
        <w:t>Option 2</w:t>
      </w:r>
      <w:r w:rsidR="00C02751">
        <w:rPr>
          <w:b/>
        </w:rPr>
        <w:t>”</w:t>
      </w:r>
      <w:r w:rsidR="00A822F3">
        <w:rPr>
          <w:b/>
        </w:rPr>
        <w:t>.</w:t>
      </w:r>
    </w:p>
    <w:p w:rsidR="002B6AD0" w:rsidRDefault="006855C9" w:rsidP="00A97026">
      <w:pPr>
        <w:rPr>
          <w:b/>
        </w:rPr>
      </w:pPr>
      <w:r>
        <w:rPr>
          <w:b/>
        </w:rPr>
        <w:t>Proposal 1:</w:t>
      </w:r>
      <w:r>
        <w:rPr>
          <w:b/>
        </w:rPr>
        <w:tab/>
        <w:t xml:space="preserve"> The template in “</w:t>
      </w:r>
      <w:r w:rsidRPr="00BF66D4">
        <w:rPr>
          <w:b/>
          <w:i/>
          <w:u w:val="single"/>
        </w:rPr>
        <w:t xml:space="preserve">Option </w:t>
      </w:r>
      <w:r>
        <w:rPr>
          <w:b/>
          <w:i/>
          <w:u w:val="single"/>
        </w:rPr>
        <w:t>3</w:t>
      </w:r>
      <w:r>
        <w:rPr>
          <w:b/>
        </w:rPr>
        <w:t>” is suggested for</w:t>
      </w:r>
      <w:r w:rsidRPr="006855C9">
        <w:rPr>
          <w:b/>
        </w:rPr>
        <w:t xml:space="preserve"> ΔT</w:t>
      </w:r>
      <w:r w:rsidRPr="006855C9">
        <w:rPr>
          <w:b/>
          <w:vertAlign w:val="subscript"/>
        </w:rPr>
        <w:t>IB,c</w:t>
      </w:r>
      <w:r w:rsidRPr="006855C9">
        <w:rPr>
          <w:b/>
        </w:rPr>
        <w:t xml:space="preserve"> and ΔR</w:t>
      </w:r>
      <w:r w:rsidRPr="006855C9">
        <w:rPr>
          <w:b/>
          <w:vertAlign w:val="subscript"/>
        </w:rPr>
        <w:t xml:space="preserve">IB,c </w:t>
      </w:r>
      <w:r>
        <w:rPr>
          <w:b/>
        </w:rPr>
        <w:t>tables for CA/DC configurations due to the better simplicity and readability.</w:t>
      </w:r>
    </w:p>
    <w:p w:rsidR="002F6883" w:rsidRPr="00E52495" w:rsidRDefault="002F6883" w:rsidP="002F6883">
      <w:pPr>
        <w:pStyle w:val="2"/>
        <w:keepNext w:val="0"/>
        <w:keepLines w:val="0"/>
        <w:spacing w:before="100" w:beforeAutospacing="1" w:afterLines="100" w:after="240"/>
        <w:ind w:left="0" w:firstLine="0"/>
        <w:rPr>
          <w:bCs/>
          <w:szCs w:val="32"/>
        </w:rPr>
      </w:pPr>
      <w:r w:rsidRPr="00E52495">
        <w:rPr>
          <w:bCs/>
        </w:rPr>
        <w:t>2.</w:t>
      </w:r>
      <w:r>
        <w:rPr>
          <w:bCs/>
        </w:rPr>
        <w:t>2</w:t>
      </w:r>
      <w:r w:rsidRPr="00E52495">
        <w:rPr>
          <w:bCs/>
        </w:rPr>
        <w:t xml:space="preserve"> </w:t>
      </w:r>
      <w:r>
        <w:rPr>
          <w:bCs/>
        </w:rPr>
        <w:t xml:space="preserve">Timetable for </w:t>
      </w:r>
      <w:r>
        <w:t>ΔT</w:t>
      </w:r>
      <w:r w:rsidRPr="00B57417">
        <w:rPr>
          <w:vertAlign w:val="subscript"/>
        </w:rPr>
        <w:t>IB</w:t>
      </w:r>
      <w:r>
        <w:rPr>
          <w:vertAlign w:val="subscript"/>
        </w:rPr>
        <w:t>,c</w:t>
      </w:r>
      <w:r>
        <w:t xml:space="preserve"> and ΔR</w:t>
      </w:r>
      <w:r w:rsidRPr="00B57417">
        <w:rPr>
          <w:vertAlign w:val="subscript"/>
        </w:rPr>
        <w:t>IB</w:t>
      </w:r>
      <w:r>
        <w:rPr>
          <w:vertAlign w:val="subscript"/>
        </w:rPr>
        <w:t xml:space="preserve">,c </w:t>
      </w:r>
      <w:r>
        <w:t>new templates</w:t>
      </w:r>
    </w:p>
    <w:p w:rsidR="002B6AD0" w:rsidRDefault="00091FBB" w:rsidP="00A97026">
      <w:r>
        <w:rPr>
          <w:lang w:val="en-GB"/>
        </w:rPr>
        <w:t xml:space="preserve">Regarding to the situation that lots of basket WID for CA/DC configuration are under discussion, </w:t>
      </w:r>
      <w:r w:rsidR="0072103D">
        <w:rPr>
          <w:lang w:val="en-GB"/>
        </w:rPr>
        <w:t xml:space="preserve">any </w:t>
      </w:r>
      <w:r>
        <w:rPr>
          <w:lang w:val="en-GB"/>
        </w:rPr>
        <w:t xml:space="preserve">new </w:t>
      </w:r>
      <w:r w:rsidR="0072103D">
        <w:rPr>
          <w:lang w:val="en-GB"/>
        </w:rPr>
        <w:t xml:space="preserve">changes to the </w:t>
      </w:r>
      <w:r>
        <w:rPr>
          <w:lang w:val="en-GB"/>
        </w:rPr>
        <w:t>template</w:t>
      </w:r>
      <w:r w:rsidR="0072103D">
        <w:rPr>
          <w:lang w:val="en-GB"/>
        </w:rPr>
        <w:t>s</w:t>
      </w:r>
      <w:r>
        <w:rPr>
          <w:lang w:val="en-GB"/>
        </w:rPr>
        <w:t xml:space="preserve"> for </w:t>
      </w:r>
      <w:r w:rsidRPr="004E3C92">
        <w:t>ΔT</w:t>
      </w:r>
      <w:r w:rsidRPr="004E3C92">
        <w:rPr>
          <w:vertAlign w:val="subscript"/>
        </w:rPr>
        <w:t>IB,c</w:t>
      </w:r>
      <w:r w:rsidRPr="004E3C92">
        <w:t xml:space="preserve"> and ΔR</w:t>
      </w:r>
      <w:r w:rsidRPr="004E3C92">
        <w:rPr>
          <w:vertAlign w:val="subscript"/>
        </w:rPr>
        <w:t>IB,c</w:t>
      </w:r>
      <w:r>
        <w:t xml:space="preserve"> </w:t>
      </w:r>
      <w:r w:rsidR="0072103D">
        <w:t xml:space="preserve">will have </w:t>
      </w:r>
      <w:r w:rsidR="004C2B71">
        <w:t xml:space="preserve">the </w:t>
      </w:r>
      <w:r w:rsidR="0072103D">
        <w:t>impact</w:t>
      </w:r>
      <w:r w:rsidR="004C2B71">
        <w:t>s</w:t>
      </w:r>
      <w:r w:rsidR="0072103D">
        <w:t xml:space="preserve"> on the basket WID works. A stable template will help the efficiency of RAN4. In addition, considering that a new SID on band combination handling has al</w:t>
      </w:r>
      <w:r w:rsidR="00BB6C5A">
        <w:t xml:space="preserve">ready been approved in RAN#91-e [4], </w:t>
      </w:r>
      <w:r w:rsidR="0072103D">
        <w:t xml:space="preserve">it is recommended to collect the agreements into the TR for now and apply the new template </w:t>
      </w:r>
      <w:r w:rsidR="004C2B71">
        <w:t xml:space="preserve">for all the configurations </w:t>
      </w:r>
      <w:r w:rsidR="0072103D">
        <w:t>before the end of Rel-17.</w:t>
      </w:r>
    </w:p>
    <w:p w:rsidR="00F33F0F" w:rsidRDefault="00F33F0F" w:rsidP="00F33F0F">
      <w:pPr>
        <w:rPr>
          <w:b/>
        </w:rPr>
      </w:pPr>
      <w:r>
        <w:rPr>
          <w:b/>
        </w:rPr>
        <w:t>Proposal 2:</w:t>
      </w:r>
      <w:r>
        <w:rPr>
          <w:b/>
        </w:rPr>
        <w:tab/>
      </w:r>
      <w:r w:rsidRPr="00F33F0F">
        <w:rPr>
          <w:b/>
        </w:rPr>
        <w:t xml:space="preserve"> It is recommended to collect the agreements into the newly approved TR for “band combination handling” for now and apply the new template </w:t>
      </w:r>
      <w:r>
        <w:rPr>
          <w:b/>
        </w:rPr>
        <w:t xml:space="preserve">for </w:t>
      </w:r>
      <w:r w:rsidRPr="006855C9">
        <w:rPr>
          <w:b/>
        </w:rPr>
        <w:t>ΔT</w:t>
      </w:r>
      <w:r w:rsidRPr="006855C9">
        <w:rPr>
          <w:b/>
          <w:vertAlign w:val="subscript"/>
        </w:rPr>
        <w:t>IB,c</w:t>
      </w:r>
      <w:r w:rsidRPr="006855C9">
        <w:rPr>
          <w:b/>
        </w:rPr>
        <w:t xml:space="preserve"> and ΔR</w:t>
      </w:r>
      <w:r w:rsidRPr="006855C9">
        <w:rPr>
          <w:b/>
          <w:vertAlign w:val="subscript"/>
        </w:rPr>
        <w:t xml:space="preserve">IB,c </w:t>
      </w:r>
      <w:r w:rsidR="004C2B71" w:rsidRPr="00F33F0F">
        <w:rPr>
          <w:b/>
        </w:rPr>
        <w:t xml:space="preserve">in “Option 3” </w:t>
      </w:r>
      <w:r w:rsidRPr="00F33F0F">
        <w:rPr>
          <w:b/>
        </w:rPr>
        <w:t>before the end of Rel-17.</w:t>
      </w:r>
    </w:p>
    <w:p w:rsidR="00D04885" w:rsidRDefault="00D04885" w:rsidP="003252F6"/>
    <w:p w:rsidR="0082663C" w:rsidRDefault="0082663C" w:rsidP="0082663C">
      <w:pPr>
        <w:pStyle w:val="1"/>
      </w:pPr>
      <w:r>
        <w:t>3</w:t>
      </w:r>
      <w:r>
        <w:tab/>
        <w:t>Conclusions</w:t>
      </w:r>
    </w:p>
    <w:p w:rsidR="0029574A" w:rsidRDefault="000F57D2" w:rsidP="00BB6C5A">
      <w:r>
        <w:t>In this</w:t>
      </w:r>
      <w:r w:rsidR="0082663C">
        <w:t xml:space="preserve"> paper we have presente</w:t>
      </w:r>
      <w:r w:rsidR="0029574A">
        <w:t xml:space="preserve">d our </w:t>
      </w:r>
      <w:r>
        <w:t xml:space="preserve">further </w:t>
      </w:r>
      <w:r w:rsidR="0029574A">
        <w:t xml:space="preserve">considerations on </w:t>
      </w:r>
      <w:r>
        <w:t>optimization for band combination</w:t>
      </w:r>
      <w:r w:rsidR="0082663C">
        <w:t xml:space="preserve"> in </w:t>
      </w:r>
      <w:r>
        <w:t>RAN4</w:t>
      </w:r>
      <w:r w:rsidR="0082663C">
        <w:t xml:space="preserve"> spec</w:t>
      </w:r>
      <w:r>
        <w:t>s</w:t>
      </w:r>
      <w:r w:rsidR="0082663C">
        <w:t xml:space="preserve">. </w:t>
      </w:r>
      <w:r w:rsidR="0029574A">
        <w:t xml:space="preserve">How to </w:t>
      </w:r>
      <w:r w:rsidR="00F33F0F">
        <w:t xml:space="preserve">handle with the </w:t>
      </w:r>
      <w:r w:rsidR="00F33F0F" w:rsidRPr="0024260C">
        <w:t>ΔT</w:t>
      </w:r>
      <w:r w:rsidR="00F33F0F" w:rsidRPr="0024260C">
        <w:rPr>
          <w:vertAlign w:val="subscript"/>
        </w:rPr>
        <w:t>IB,c</w:t>
      </w:r>
      <w:r w:rsidR="00F33F0F" w:rsidRPr="0024260C">
        <w:t xml:space="preserve"> and ΔR</w:t>
      </w:r>
      <w:r w:rsidR="00F33F0F" w:rsidRPr="0024260C">
        <w:rPr>
          <w:vertAlign w:val="subscript"/>
        </w:rPr>
        <w:t>IB,c</w:t>
      </w:r>
      <w:r w:rsidR="00F33F0F" w:rsidRPr="0024260C">
        <w:rPr>
          <w:bCs/>
        </w:rPr>
        <w:t xml:space="preserve"> table</w:t>
      </w:r>
      <w:r w:rsidR="00F33F0F">
        <w:t xml:space="preserve"> has been discussed. Simplicity and readability about “</w:t>
      </w:r>
      <w:r w:rsidR="00F33F0F" w:rsidRPr="00F33F0F">
        <w:rPr>
          <w:b/>
          <w:i/>
          <w:u w:val="single"/>
        </w:rPr>
        <w:t>Option 1</w:t>
      </w:r>
      <w:r w:rsidR="00F33F0F">
        <w:t>” and “</w:t>
      </w:r>
      <w:r w:rsidR="00F33F0F" w:rsidRPr="00F33F0F">
        <w:rPr>
          <w:b/>
          <w:i/>
          <w:u w:val="single"/>
        </w:rPr>
        <w:t>Option 2</w:t>
      </w:r>
      <w:r w:rsidR="00F33F0F">
        <w:t xml:space="preserve">” have been analyzed. </w:t>
      </w:r>
      <w:r w:rsidR="00BB6C5A">
        <w:t>A new optimized solution, namely “</w:t>
      </w:r>
      <w:r w:rsidR="00BB6C5A" w:rsidRPr="00BB6C5A">
        <w:rPr>
          <w:b/>
          <w:i/>
          <w:u w:val="single"/>
        </w:rPr>
        <w:t>Option 3</w:t>
      </w:r>
      <w:r w:rsidR="00BB6C5A">
        <w:t xml:space="preserve">”, for </w:t>
      </w:r>
      <w:r w:rsidR="00BB6C5A" w:rsidRPr="0024260C">
        <w:t>ΔT</w:t>
      </w:r>
      <w:r w:rsidR="00BB6C5A" w:rsidRPr="0024260C">
        <w:rPr>
          <w:vertAlign w:val="subscript"/>
        </w:rPr>
        <w:t>IB,c</w:t>
      </w:r>
      <w:r w:rsidR="00BB6C5A" w:rsidRPr="0024260C">
        <w:t xml:space="preserve"> and ΔR</w:t>
      </w:r>
      <w:r w:rsidR="00BB6C5A" w:rsidRPr="0024260C">
        <w:rPr>
          <w:vertAlign w:val="subscript"/>
        </w:rPr>
        <w:t>IB,c</w:t>
      </w:r>
      <w:r w:rsidR="00BB6C5A" w:rsidRPr="0024260C">
        <w:rPr>
          <w:bCs/>
        </w:rPr>
        <w:t xml:space="preserve"> </w:t>
      </w:r>
      <w:r w:rsidR="00BB6C5A">
        <w:t>has been proposed. Based on the discussion, w</w:t>
      </w:r>
      <w:r w:rsidR="002B4274">
        <w:t>e have the following observations and proposals.</w:t>
      </w:r>
    </w:p>
    <w:p w:rsidR="00BB6C5A" w:rsidRDefault="00BB6C5A" w:rsidP="00BB6C5A">
      <w:pPr>
        <w:rPr>
          <w:b/>
        </w:rPr>
      </w:pPr>
      <w:r>
        <w:rPr>
          <w:b/>
        </w:rPr>
        <w:t>Observation 1:</w:t>
      </w:r>
      <w:r>
        <w:rPr>
          <w:b/>
        </w:rPr>
        <w:tab/>
        <w:t xml:space="preserve"> The total row reduced ratio for </w:t>
      </w:r>
      <w:r w:rsidRPr="00FE3BA8">
        <w:rPr>
          <w:b/>
        </w:rPr>
        <w:t>ΔT</w:t>
      </w:r>
      <w:r w:rsidRPr="00FE3BA8">
        <w:rPr>
          <w:b/>
          <w:vertAlign w:val="subscript"/>
        </w:rPr>
        <w:t>IB,c</w:t>
      </w:r>
      <w:r w:rsidRPr="00FE3BA8">
        <w:rPr>
          <w:b/>
        </w:rPr>
        <w:t xml:space="preserve"> and ΔR</w:t>
      </w:r>
      <w:r w:rsidRPr="00FE3BA8">
        <w:rPr>
          <w:b/>
          <w:vertAlign w:val="subscript"/>
        </w:rPr>
        <w:t xml:space="preserve">IB,c </w:t>
      </w:r>
      <w:r w:rsidRPr="00FE3BA8">
        <w:rPr>
          <w:b/>
        </w:rPr>
        <w:t xml:space="preserve">tables </w:t>
      </w:r>
      <w:r>
        <w:rPr>
          <w:b/>
        </w:rPr>
        <w:t>by using solution “</w:t>
      </w:r>
      <w:r w:rsidRPr="00BF66D4">
        <w:rPr>
          <w:b/>
          <w:i/>
          <w:u w:val="single"/>
        </w:rPr>
        <w:t>Option 2</w:t>
      </w:r>
      <w:r w:rsidR="004C2B71">
        <w:rPr>
          <w:b/>
        </w:rPr>
        <w:t xml:space="preserve">” is higher than </w:t>
      </w:r>
      <w:r>
        <w:rPr>
          <w:b/>
        </w:rPr>
        <w:t>using solution “</w:t>
      </w:r>
      <w:r w:rsidRPr="00BF66D4">
        <w:rPr>
          <w:b/>
          <w:i/>
          <w:u w:val="single"/>
        </w:rPr>
        <w:t xml:space="preserve">Option </w:t>
      </w:r>
      <w:r>
        <w:rPr>
          <w:b/>
          <w:i/>
          <w:u w:val="single"/>
        </w:rPr>
        <w:t>1</w:t>
      </w:r>
      <w:r>
        <w:rPr>
          <w:b/>
        </w:rPr>
        <w:t xml:space="preserve">”. </w:t>
      </w:r>
    </w:p>
    <w:p w:rsidR="00BB6C5A" w:rsidRDefault="00BB6C5A" w:rsidP="00BB6C5A">
      <w:pPr>
        <w:rPr>
          <w:b/>
        </w:rPr>
      </w:pPr>
      <w:r>
        <w:rPr>
          <w:b/>
        </w:rPr>
        <w:t>Observation 2:</w:t>
      </w:r>
      <w:r>
        <w:rPr>
          <w:b/>
        </w:rPr>
        <w:tab/>
        <w:t xml:space="preserve"> Since “</w:t>
      </w:r>
      <w:r w:rsidRPr="00BF66D4">
        <w:rPr>
          <w:b/>
          <w:i/>
          <w:u w:val="single"/>
        </w:rPr>
        <w:t>Option 2</w:t>
      </w:r>
      <w:r>
        <w:rPr>
          <w:b/>
        </w:rPr>
        <w:t>” has a fixed interval for each configuration with only one row in the table, the readability of “</w:t>
      </w:r>
      <w:r w:rsidRPr="00BF66D4">
        <w:rPr>
          <w:b/>
          <w:i/>
          <w:u w:val="single"/>
        </w:rPr>
        <w:t>Option 2</w:t>
      </w:r>
      <w:r>
        <w:rPr>
          <w:b/>
        </w:rPr>
        <w:t>” will be better than “</w:t>
      </w:r>
      <w:r w:rsidRPr="00F20437">
        <w:rPr>
          <w:b/>
          <w:i/>
          <w:u w:val="single"/>
        </w:rPr>
        <w:t>Option 1</w:t>
      </w:r>
      <w:r>
        <w:rPr>
          <w:b/>
        </w:rPr>
        <w:t>” to some extent.</w:t>
      </w:r>
    </w:p>
    <w:p w:rsidR="00BB6C5A" w:rsidRDefault="00BB6C5A" w:rsidP="00BB6C5A">
      <w:pPr>
        <w:rPr>
          <w:b/>
        </w:rPr>
      </w:pPr>
      <w:r>
        <w:rPr>
          <w:b/>
        </w:rPr>
        <w:t>Observation 3:</w:t>
      </w:r>
      <w:r>
        <w:rPr>
          <w:b/>
        </w:rPr>
        <w:tab/>
        <w:t xml:space="preserve"> “</w:t>
      </w:r>
      <w:r w:rsidRPr="00BF66D4">
        <w:rPr>
          <w:b/>
          <w:i/>
          <w:u w:val="single"/>
        </w:rPr>
        <w:t xml:space="preserve">Option </w:t>
      </w:r>
      <w:r>
        <w:rPr>
          <w:b/>
          <w:i/>
          <w:u w:val="single"/>
        </w:rPr>
        <w:t>3</w:t>
      </w:r>
      <w:r>
        <w:rPr>
          <w:b/>
        </w:rPr>
        <w:t xml:space="preserve">” uses the format “Band(s) / </w:t>
      </w:r>
      <w:r w:rsidRPr="00FE3BA8">
        <w:rPr>
          <w:b/>
        </w:rPr>
        <w:t>ΔT</w:t>
      </w:r>
      <w:r w:rsidRPr="00FE3BA8">
        <w:rPr>
          <w:b/>
          <w:vertAlign w:val="subscript"/>
        </w:rPr>
        <w:t>IB,c</w:t>
      </w:r>
      <w:r>
        <w:rPr>
          <w:b/>
        </w:rPr>
        <w:t>” or “Band(s) / ΔR</w:t>
      </w:r>
      <w:r w:rsidRPr="00FE3BA8">
        <w:rPr>
          <w:b/>
          <w:vertAlign w:val="subscript"/>
        </w:rPr>
        <w:t>IB,c</w:t>
      </w:r>
      <w:r>
        <w:rPr>
          <w:b/>
        </w:rPr>
        <w:t xml:space="preserve">” to arrange in columns, and merges different frequency bands having the same </w:t>
      </w:r>
      <w:r w:rsidRPr="00FE3BA8">
        <w:rPr>
          <w:b/>
        </w:rPr>
        <w:t>ΔT</w:t>
      </w:r>
      <w:r w:rsidRPr="00FE3BA8">
        <w:rPr>
          <w:b/>
          <w:vertAlign w:val="subscript"/>
        </w:rPr>
        <w:t>IB,c</w:t>
      </w:r>
      <w:r w:rsidRPr="00FE3BA8">
        <w:rPr>
          <w:b/>
        </w:rPr>
        <w:t xml:space="preserve"> </w:t>
      </w:r>
      <w:r>
        <w:rPr>
          <w:b/>
        </w:rPr>
        <w:t>or</w:t>
      </w:r>
      <w:r w:rsidRPr="00FE3BA8">
        <w:rPr>
          <w:b/>
        </w:rPr>
        <w:t xml:space="preserve"> ΔR</w:t>
      </w:r>
      <w:r w:rsidRPr="00FE3BA8">
        <w:rPr>
          <w:b/>
          <w:vertAlign w:val="subscript"/>
        </w:rPr>
        <w:t>IB,c</w:t>
      </w:r>
      <w:r>
        <w:rPr>
          <w:b/>
        </w:rPr>
        <w:t xml:space="preserve"> values. Its simplicity and readability are better than those of “</w:t>
      </w:r>
      <w:r w:rsidRPr="00C02751">
        <w:rPr>
          <w:b/>
          <w:i/>
          <w:u w:val="single"/>
        </w:rPr>
        <w:t>Option 1</w:t>
      </w:r>
      <w:r>
        <w:rPr>
          <w:b/>
        </w:rPr>
        <w:t>” and “</w:t>
      </w:r>
      <w:r w:rsidRPr="00C02751">
        <w:rPr>
          <w:b/>
          <w:i/>
          <w:u w:val="single"/>
        </w:rPr>
        <w:t>Option 2</w: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F3C59" w:rsidTr="007F3C59">
        <w:trPr>
          <w:trHeight w:val="187"/>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rsidR="007F3C59" w:rsidRDefault="007F3C59">
            <w:pPr>
              <w:pStyle w:val="TAH"/>
              <w:rPr>
                <w:szCs w:val="18"/>
              </w:rPr>
            </w:pPr>
            <w:r>
              <w:t>Inter-band EN-DC configuration</w:t>
            </w:r>
          </w:p>
        </w:tc>
        <w:tc>
          <w:tcPr>
            <w:tcW w:w="5904" w:type="dxa"/>
            <w:gridSpan w:val="4"/>
            <w:tcBorders>
              <w:top w:val="single" w:sz="4" w:space="0" w:color="auto"/>
              <w:left w:val="nil"/>
              <w:bottom w:val="single" w:sz="4" w:space="0" w:color="auto"/>
              <w:right w:val="single" w:sz="4" w:space="0" w:color="auto"/>
            </w:tcBorders>
            <w:hideMark/>
          </w:tcPr>
          <w:p w:rsidR="007F3C59" w:rsidRDefault="007F3C59">
            <w:pPr>
              <w:pStyle w:val="TAH"/>
            </w:pPr>
            <w:r>
              <w:t>E-UTRA or NR Band</w:t>
            </w:r>
            <w:r>
              <w:rPr>
                <w:rFonts w:hint="eastAsia"/>
              </w:rPr>
              <w:t xml:space="preserve"> / </w:t>
            </w:r>
            <w:r>
              <w:t>ΔT</w:t>
            </w:r>
            <w:r>
              <w:rPr>
                <w:vertAlign w:val="subscript"/>
              </w:rPr>
              <w:t>IB,c</w:t>
            </w:r>
            <w:r>
              <w:t xml:space="preserve"> (dB)</w:t>
            </w:r>
          </w:p>
        </w:tc>
      </w:tr>
      <w:tr w:rsidR="007F3C59" w:rsidTr="007F3C59">
        <w:trPr>
          <w:trHeight w:val="187"/>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F3C59" w:rsidRDefault="007F3C59">
            <w:pPr>
              <w:spacing w:before="0" w:beforeAutospacing="0" w:after="0"/>
              <w:rPr>
                <w:rFonts w:ascii="Arial" w:hAnsi="Arial"/>
                <w:b/>
                <w:bCs/>
                <w:sz w:val="18"/>
                <w:szCs w:val="18"/>
              </w:rPr>
            </w:pPr>
          </w:p>
        </w:tc>
        <w:tc>
          <w:tcPr>
            <w:tcW w:w="2952" w:type="dxa"/>
            <w:gridSpan w:val="2"/>
            <w:tcBorders>
              <w:top w:val="single" w:sz="4" w:space="0" w:color="auto"/>
              <w:left w:val="nil"/>
              <w:bottom w:val="single" w:sz="4" w:space="0" w:color="auto"/>
              <w:right w:val="single" w:sz="4" w:space="0" w:color="auto"/>
            </w:tcBorders>
            <w:hideMark/>
          </w:tcPr>
          <w:p w:rsidR="007F3C59" w:rsidRDefault="007F3C59">
            <w:pPr>
              <w:pStyle w:val="TAH"/>
            </w:pPr>
            <w:r>
              <w:rPr>
                <w:rFonts w:hint="eastAsia"/>
              </w:rPr>
              <w:t xml:space="preserve">Band(s)#1 / </w:t>
            </w:r>
            <w:r>
              <w:t>ΔT</w:t>
            </w:r>
            <w:r>
              <w:rPr>
                <w:vertAlign w:val="subscript"/>
              </w:rPr>
              <w:t>IB,c</w:t>
            </w:r>
          </w:p>
        </w:tc>
        <w:tc>
          <w:tcPr>
            <w:tcW w:w="2952" w:type="dxa"/>
            <w:gridSpan w:val="2"/>
            <w:tcBorders>
              <w:top w:val="single" w:sz="4" w:space="0" w:color="auto"/>
              <w:left w:val="nil"/>
              <w:bottom w:val="single" w:sz="4" w:space="0" w:color="auto"/>
              <w:right w:val="single" w:sz="4" w:space="0" w:color="auto"/>
            </w:tcBorders>
            <w:hideMark/>
          </w:tcPr>
          <w:p w:rsidR="007F3C59" w:rsidRDefault="007F3C59">
            <w:pPr>
              <w:pStyle w:val="TAH"/>
            </w:pPr>
            <w:r>
              <w:rPr>
                <w:rFonts w:hint="eastAsia"/>
              </w:rPr>
              <w:t xml:space="preserve">Band(s)#2 / </w:t>
            </w:r>
            <w:r>
              <w:t>ΔT</w:t>
            </w:r>
            <w:r>
              <w:rPr>
                <w:vertAlign w:val="subscript"/>
              </w:rPr>
              <w:t>IB,c</w:t>
            </w:r>
          </w:p>
        </w:tc>
      </w:tr>
      <w:tr w:rsidR="007F3C59" w:rsidTr="007F3C59">
        <w:trPr>
          <w:trHeight w:val="187"/>
          <w:jc w:val="center"/>
        </w:trPr>
        <w:tc>
          <w:tcPr>
            <w:tcW w:w="2336" w:type="dxa"/>
            <w:tcBorders>
              <w:top w:val="single" w:sz="4" w:space="0" w:color="auto"/>
              <w:left w:val="single" w:sz="4" w:space="0" w:color="auto"/>
              <w:bottom w:val="nil"/>
              <w:right w:val="single" w:sz="4" w:space="0" w:color="auto"/>
            </w:tcBorders>
            <w:hideMark/>
          </w:tcPr>
          <w:p w:rsidR="007F3C59" w:rsidRDefault="007F3C59">
            <w:pPr>
              <w:pStyle w:val="TAC"/>
            </w:pPr>
            <w:r>
              <w:t>DC_1_n3</w:t>
            </w:r>
          </w:p>
        </w:tc>
        <w:tc>
          <w:tcPr>
            <w:tcW w:w="1476" w:type="dxa"/>
            <w:tcBorders>
              <w:top w:val="single" w:sz="4" w:space="0" w:color="auto"/>
              <w:left w:val="nil"/>
              <w:bottom w:val="single" w:sz="4" w:space="0" w:color="auto"/>
              <w:right w:val="single" w:sz="4" w:space="0" w:color="auto"/>
            </w:tcBorders>
            <w:hideMark/>
          </w:tcPr>
          <w:p w:rsidR="007F3C59" w:rsidRDefault="007F3C59">
            <w:pPr>
              <w:pStyle w:val="TAC"/>
            </w:pPr>
            <w:r>
              <w:t>1</w:t>
            </w:r>
            <w:r>
              <w:rPr>
                <w:rFonts w:hint="eastAsia"/>
              </w:rPr>
              <w:t>, n3</w:t>
            </w:r>
          </w:p>
        </w:tc>
        <w:tc>
          <w:tcPr>
            <w:tcW w:w="1476" w:type="dxa"/>
            <w:tcBorders>
              <w:top w:val="single" w:sz="4" w:space="0" w:color="auto"/>
              <w:left w:val="nil"/>
              <w:bottom w:val="single" w:sz="4" w:space="0" w:color="auto"/>
              <w:right w:val="single" w:sz="4" w:space="0" w:color="auto"/>
            </w:tcBorders>
            <w:hideMark/>
          </w:tcPr>
          <w:p w:rsidR="007F3C59" w:rsidRDefault="007F3C59">
            <w:pPr>
              <w:pStyle w:val="TAC"/>
            </w:pPr>
            <w:r>
              <w:rPr>
                <w:rFonts w:hint="eastAsia"/>
              </w:rPr>
              <w:t>0.3</w:t>
            </w:r>
          </w:p>
        </w:tc>
        <w:tc>
          <w:tcPr>
            <w:tcW w:w="1476" w:type="dxa"/>
            <w:tcBorders>
              <w:top w:val="single" w:sz="4" w:space="0" w:color="auto"/>
              <w:left w:val="nil"/>
              <w:bottom w:val="single" w:sz="4" w:space="0" w:color="auto"/>
              <w:right w:val="single" w:sz="4" w:space="0" w:color="auto"/>
            </w:tcBorders>
          </w:tcPr>
          <w:p w:rsidR="007F3C59" w:rsidRDefault="007F3C59">
            <w:pPr>
              <w:pStyle w:val="TAC"/>
            </w:pPr>
          </w:p>
        </w:tc>
        <w:tc>
          <w:tcPr>
            <w:tcW w:w="1476" w:type="dxa"/>
            <w:tcBorders>
              <w:top w:val="single" w:sz="4" w:space="0" w:color="auto"/>
              <w:left w:val="nil"/>
              <w:bottom w:val="single" w:sz="4" w:space="0" w:color="auto"/>
              <w:right w:val="single" w:sz="4" w:space="0" w:color="auto"/>
            </w:tcBorders>
          </w:tcPr>
          <w:p w:rsidR="007F3C59" w:rsidRDefault="007F3C59">
            <w:pPr>
              <w:pStyle w:val="TAC"/>
            </w:pPr>
          </w:p>
        </w:tc>
      </w:tr>
      <w:tr w:rsidR="007F3C59" w:rsidTr="007F3C59">
        <w:trPr>
          <w:trHeight w:val="187"/>
          <w:jc w:val="center"/>
        </w:trPr>
        <w:tc>
          <w:tcPr>
            <w:tcW w:w="2336" w:type="dxa"/>
            <w:tcBorders>
              <w:top w:val="single" w:sz="4" w:space="0" w:color="auto"/>
              <w:left w:val="single" w:sz="4" w:space="0" w:color="auto"/>
              <w:bottom w:val="nil"/>
              <w:right w:val="single" w:sz="4" w:space="0" w:color="auto"/>
            </w:tcBorders>
            <w:hideMark/>
          </w:tcPr>
          <w:p w:rsidR="007F3C59" w:rsidRDefault="007F3C59">
            <w:pPr>
              <w:pStyle w:val="TAC"/>
            </w:pPr>
            <w:r>
              <w:t>DC_1_n5</w:t>
            </w:r>
          </w:p>
        </w:tc>
        <w:tc>
          <w:tcPr>
            <w:tcW w:w="1476" w:type="dxa"/>
            <w:tcBorders>
              <w:top w:val="single" w:sz="4" w:space="0" w:color="auto"/>
              <w:left w:val="nil"/>
              <w:bottom w:val="single" w:sz="4" w:space="0" w:color="auto"/>
              <w:right w:val="single" w:sz="4" w:space="0" w:color="auto"/>
            </w:tcBorders>
            <w:shd w:val="clear" w:color="auto" w:fill="FFF8D9"/>
            <w:hideMark/>
          </w:tcPr>
          <w:p w:rsidR="007F3C59" w:rsidRDefault="007F3C59">
            <w:pPr>
              <w:pStyle w:val="TAC"/>
            </w:pPr>
            <w:r>
              <w:t>1</w:t>
            </w:r>
            <w:r>
              <w:rPr>
                <w:rFonts w:hint="eastAsia"/>
              </w:rPr>
              <w:t>, n5</w:t>
            </w:r>
          </w:p>
        </w:tc>
        <w:tc>
          <w:tcPr>
            <w:tcW w:w="1476" w:type="dxa"/>
            <w:tcBorders>
              <w:top w:val="single" w:sz="4" w:space="0" w:color="auto"/>
              <w:left w:val="nil"/>
              <w:bottom w:val="single" w:sz="4" w:space="0" w:color="auto"/>
              <w:right w:val="single" w:sz="4" w:space="0" w:color="auto"/>
            </w:tcBorders>
            <w:shd w:val="clear" w:color="auto" w:fill="FFF8D9"/>
            <w:hideMark/>
          </w:tcPr>
          <w:p w:rsidR="007F3C59" w:rsidRDefault="007F3C59">
            <w:pPr>
              <w:pStyle w:val="TAC"/>
            </w:pPr>
            <w:r>
              <w:rPr>
                <w:rFonts w:hint="eastAsia"/>
              </w:rPr>
              <w:t>0.3</w:t>
            </w:r>
          </w:p>
        </w:tc>
        <w:tc>
          <w:tcPr>
            <w:tcW w:w="1476" w:type="dxa"/>
            <w:tcBorders>
              <w:top w:val="single" w:sz="4" w:space="0" w:color="auto"/>
              <w:left w:val="nil"/>
              <w:bottom w:val="single" w:sz="4" w:space="0" w:color="auto"/>
              <w:right w:val="single" w:sz="4" w:space="0" w:color="auto"/>
            </w:tcBorders>
            <w:shd w:val="clear" w:color="auto" w:fill="FFF8D9"/>
          </w:tcPr>
          <w:p w:rsidR="007F3C59" w:rsidRDefault="007F3C59">
            <w:pPr>
              <w:pStyle w:val="TAC"/>
            </w:pPr>
          </w:p>
        </w:tc>
        <w:tc>
          <w:tcPr>
            <w:tcW w:w="1476" w:type="dxa"/>
            <w:tcBorders>
              <w:top w:val="single" w:sz="4" w:space="0" w:color="auto"/>
              <w:left w:val="nil"/>
              <w:bottom w:val="single" w:sz="4" w:space="0" w:color="auto"/>
              <w:right w:val="single" w:sz="4" w:space="0" w:color="auto"/>
            </w:tcBorders>
            <w:shd w:val="clear" w:color="auto" w:fill="FFF8D9"/>
          </w:tcPr>
          <w:p w:rsidR="007F3C59" w:rsidRDefault="007F3C59">
            <w:pPr>
              <w:pStyle w:val="TAC"/>
            </w:pPr>
          </w:p>
        </w:tc>
      </w:tr>
      <w:tr w:rsidR="007F3C59" w:rsidTr="007F3C59">
        <w:trPr>
          <w:trHeight w:val="187"/>
          <w:jc w:val="center"/>
        </w:trPr>
        <w:tc>
          <w:tcPr>
            <w:tcW w:w="2336" w:type="dxa"/>
            <w:tcBorders>
              <w:top w:val="single" w:sz="4" w:space="0" w:color="auto"/>
              <w:left w:val="single" w:sz="4" w:space="0" w:color="auto"/>
              <w:bottom w:val="nil"/>
              <w:right w:val="single" w:sz="4" w:space="0" w:color="auto"/>
            </w:tcBorders>
            <w:hideMark/>
          </w:tcPr>
          <w:p w:rsidR="007F3C59" w:rsidRDefault="007F3C59">
            <w:pPr>
              <w:pStyle w:val="TAC"/>
            </w:pPr>
            <w:r>
              <w:t>DC_1_</w:t>
            </w:r>
            <w:r>
              <w:rPr>
                <w:rFonts w:eastAsia="MS Mincho"/>
              </w:rPr>
              <w:t>n7</w:t>
            </w:r>
          </w:p>
        </w:tc>
        <w:tc>
          <w:tcPr>
            <w:tcW w:w="1476" w:type="dxa"/>
            <w:tcBorders>
              <w:top w:val="single" w:sz="4" w:space="0" w:color="auto"/>
              <w:left w:val="nil"/>
              <w:bottom w:val="single" w:sz="4" w:space="0" w:color="auto"/>
              <w:right w:val="single" w:sz="4" w:space="0" w:color="auto"/>
            </w:tcBorders>
            <w:shd w:val="clear" w:color="auto" w:fill="E0F4FC"/>
            <w:hideMark/>
          </w:tcPr>
          <w:p w:rsidR="007F3C59" w:rsidRDefault="007F3C59">
            <w:pPr>
              <w:pStyle w:val="TAC"/>
            </w:pPr>
            <w:r>
              <w:t>1</w:t>
            </w:r>
          </w:p>
        </w:tc>
        <w:tc>
          <w:tcPr>
            <w:tcW w:w="1476" w:type="dxa"/>
            <w:tcBorders>
              <w:top w:val="single" w:sz="4" w:space="0" w:color="auto"/>
              <w:left w:val="nil"/>
              <w:bottom w:val="single" w:sz="4" w:space="0" w:color="auto"/>
              <w:right w:val="single" w:sz="4" w:space="0" w:color="auto"/>
            </w:tcBorders>
            <w:shd w:val="clear" w:color="auto" w:fill="E0F4FC"/>
            <w:hideMark/>
          </w:tcPr>
          <w:p w:rsidR="007F3C59" w:rsidRDefault="007F3C59">
            <w:pPr>
              <w:pStyle w:val="TAC"/>
            </w:pPr>
            <w:r>
              <w:rPr>
                <w:rFonts w:hint="eastAsia"/>
              </w:rPr>
              <w:t>0.5</w:t>
            </w:r>
          </w:p>
        </w:tc>
        <w:tc>
          <w:tcPr>
            <w:tcW w:w="1476" w:type="dxa"/>
            <w:tcBorders>
              <w:top w:val="single" w:sz="4" w:space="0" w:color="auto"/>
              <w:left w:val="nil"/>
              <w:bottom w:val="single" w:sz="4" w:space="0" w:color="auto"/>
              <w:right w:val="single" w:sz="4" w:space="0" w:color="auto"/>
            </w:tcBorders>
            <w:shd w:val="clear" w:color="auto" w:fill="E0F4FC"/>
            <w:hideMark/>
          </w:tcPr>
          <w:p w:rsidR="007F3C59" w:rsidRDefault="007F3C59">
            <w:pPr>
              <w:pStyle w:val="TAC"/>
            </w:pPr>
            <w:r>
              <w:rPr>
                <w:rFonts w:hint="eastAsia"/>
              </w:rPr>
              <w:t>n7</w:t>
            </w:r>
          </w:p>
        </w:tc>
        <w:tc>
          <w:tcPr>
            <w:tcW w:w="1476" w:type="dxa"/>
            <w:tcBorders>
              <w:top w:val="single" w:sz="4" w:space="0" w:color="auto"/>
              <w:left w:val="nil"/>
              <w:bottom w:val="single" w:sz="4" w:space="0" w:color="auto"/>
              <w:right w:val="single" w:sz="4" w:space="0" w:color="auto"/>
            </w:tcBorders>
            <w:shd w:val="clear" w:color="auto" w:fill="E0F4FC"/>
            <w:hideMark/>
          </w:tcPr>
          <w:p w:rsidR="007F3C59" w:rsidRDefault="007F3C59">
            <w:pPr>
              <w:pStyle w:val="TAC"/>
            </w:pPr>
            <w:r>
              <w:rPr>
                <w:rFonts w:hint="eastAsia"/>
              </w:rPr>
              <w:t>0.6</w:t>
            </w:r>
          </w:p>
        </w:tc>
      </w:tr>
      <w:tr w:rsidR="007F3C59" w:rsidTr="007F3C59">
        <w:trPr>
          <w:trHeight w:val="187"/>
          <w:jc w:val="center"/>
        </w:trPr>
        <w:tc>
          <w:tcPr>
            <w:tcW w:w="2336" w:type="dxa"/>
            <w:tcBorders>
              <w:top w:val="single" w:sz="4" w:space="0" w:color="auto"/>
              <w:left w:val="single" w:sz="4" w:space="0" w:color="auto"/>
              <w:bottom w:val="nil"/>
              <w:right w:val="single" w:sz="4" w:space="0" w:color="auto"/>
            </w:tcBorders>
            <w:hideMark/>
          </w:tcPr>
          <w:p w:rsidR="007F3C59" w:rsidRDefault="007F3C59">
            <w:pPr>
              <w:pStyle w:val="TAC"/>
            </w:pPr>
            <w:r>
              <w:t>DC_1_n8</w:t>
            </w:r>
          </w:p>
        </w:tc>
        <w:tc>
          <w:tcPr>
            <w:tcW w:w="1476" w:type="dxa"/>
            <w:tcBorders>
              <w:top w:val="single" w:sz="4" w:space="0" w:color="auto"/>
              <w:left w:val="nil"/>
              <w:bottom w:val="single" w:sz="4" w:space="0" w:color="auto"/>
              <w:right w:val="single" w:sz="4" w:space="0" w:color="auto"/>
            </w:tcBorders>
            <w:shd w:val="clear" w:color="auto" w:fill="E8F3D9"/>
            <w:hideMark/>
          </w:tcPr>
          <w:p w:rsidR="007F3C59" w:rsidRDefault="007F3C59">
            <w:pPr>
              <w:pStyle w:val="TAC"/>
              <w:rPr>
                <w:rFonts w:eastAsia="MS Mincho"/>
              </w:rPr>
            </w:pPr>
            <w:r>
              <w:t>1</w:t>
            </w:r>
            <w:r>
              <w:rPr>
                <w:rFonts w:hint="eastAsia"/>
              </w:rPr>
              <w:t>, n8</w:t>
            </w:r>
          </w:p>
        </w:tc>
        <w:tc>
          <w:tcPr>
            <w:tcW w:w="1476" w:type="dxa"/>
            <w:tcBorders>
              <w:top w:val="single" w:sz="4" w:space="0" w:color="auto"/>
              <w:left w:val="nil"/>
              <w:bottom w:val="single" w:sz="4" w:space="0" w:color="auto"/>
              <w:right w:val="single" w:sz="4" w:space="0" w:color="auto"/>
            </w:tcBorders>
            <w:shd w:val="clear" w:color="auto" w:fill="E8F3D9"/>
            <w:hideMark/>
          </w:tcPr>
          <w:p w:rsidR="007F3C59" w:rsidRDefault="007F3C59">
            <w:pPr>
              <w:pStyle w:val="TAC"/>
              <w:rPr>
                <w:rFonts w:eastAsia="宋体"/>
              </w:rPr>
            </w:pPr>
            <w:r>
              <w:rPr>
                <w:rFonts w:hint="eastAsia"/>
              </w:rPr>
              <w:t>0.3</w:t>
            </w:r>
          </w:p>
        </w:tc>
        <w:tc>
          <w:tcPr>
            <w:tcW w:w="1476" w:type="dxa"/>
            <w:tcBorders>
              <w:top w:val="single" w:sz="4" w:space="0" w:color="auto"/>
              <w:left w:val="nil"/>
              <w:bottom w:val="single" w:sz="4" w:space="0" w:color="auto"/>
              <w:right w:val="single" w:sz="4" w:space="0" w:color="auto"/>
            </w:tcBorders>
            <w:shd w:val="clear" w:color="auto" w:fill="E8F3D9"/>
          </w:tcPr>
          <w:p w:rsidR="007F3C59" w:rsidRDefault="007F3C59">
            <w:pPr>
              <w:pStyle w:val="TAC"/>
            </w:pPr>
          </w:p>
        </w:tc>
        <w:tc>
          <w:tcPr>
            <w:tcW w:w="1476" w:type="dxa"/>
            <w:tcBorders>
              <w:top w:val="single" w:sz="4" w:space="0" w:color="auto"/>
              <w:left w:val="nil"/>
              <w:bottom w:val="single" w:sz="4" w:space="0" w:color="auto"/>
              <w:right w:val="single" w:sz="4" w:space="0" w:color="auto"/>
            </w:tcBorders>
            <w:shd w:val="clear" w:color="auto" w:fill="E8F3D9"/>
          </w:tcPr>
          <w:p w:rsidR="007F3C59" w:rsidRDefault="007F3C59">
            <w:pPr>
              <w:pStyle w:val="TAC"/>
            </w:pPr>
          </w:p>
        </w:tc>
      </w:tr>
      <w:tr w:rsidR="007F3C59" w:rsidTr="007F3C59">
        <w:trPr>
          <w:trHeight w:val="187"/>
          <w:jc w:val="center"/>
        </w:trPr>
        <w:tc>
          <w:tcPr>
            <w:tcW w:w="2336" w:type="dxa"/>
            <w:tcBorders>
              <w:top w:val="single" w:sz="4" w:space="0" w:color="auto"/>
              <w:left w:val="single" w:sz="4" w:space="0" w:color="auto"/>
              <w:bottom w:val="nil"/>
              <w:right w:val="single" w:sz="4" w:space="0" w:color="auto"/>
            </w:tcBorders>
            <w:hideMark/>
          </w:tcPr>
          <w:p w:rsidR="007F3C59" w:rsidRDefault="007F3C59">
            <w:pPr>
              <w:pStyle w:val="TAC"/>
            </w:pPr>
            <w:r>
              <w:rPr>
                <w:rFonts w:cs="Arial"/>
              </w:rPr>
              <w:t>DC_1_n20</w:t>
            </w:r>
          </w:p>
        </w:tc>
        <w:tc>
          <w:tcPr>
            <w:tcW w:w="1476" w:type="dxa"/>
            <w:tcBorders>
              <w:top w:val="single" w:sz="4" w:space="0" w:color="auto"/>
              <w:left w:val="nil"/>
              <w:bottom w:val="single" w:sz="4" w:space="0" w:color="auto"/>
              <w:right w:val="single" w:sz="4" w:space="0" w:color="auto"/>
            </w:tcBorders>
            <w:shd w:val="clear" w:color="auto" w:fill="FBD8E8"/>
            <w:hideMark/>
          </w:tcPr>
          <w:p w:rsidR="007F3C59" w:rsidRDefault="007F3C59">
            <w:pPr>
              <w:pStyle w:val="TAC"/>
            </w:pPr>
            <w:r>
              <w:rPr>
                <w:rFonts w:cs="Arial"/>
              </w:rPr>
              <w:t>1</w:t>
            </w:r>
            <w:r>
              <w:rPr>
                <w:rFonts w:cs="Arial" w:hint="eastAsia"/>
              </w:rPr>
              <w:t>, n20</w:t>
            </w:r>
          </w:p>
        </w:tc>
        <w:tc>
          <w:tcPr>
            <w:tcW w:w="1476" w:type="dxa"/>
            <w:tcBorders>
              <w:top w:val="single" w:sz="4" w:space="0" w:color="auto"/>
              <w:left w:val="nil"/>
              <w:bottom w:val="single" w:sz="4" w:space="0" w:color="auto"/>
              <w:right w:val="single" w:sz="4" w:space="0" w:color="auto"/>
            </w:tcBorders>
            <w:shd w:val="clear" w:color="auto" w:fill="FBD8E8"/>
            <w:hideMark/>
          </w:tcPr>
          <w:p w:rsidR="007F3C59" w:rsidRDefault="007F3C59">
            <w:pPr>
              <w:pStyle w:val="TAC"/>
              <w:rPr>
                <w:rFonts w:cs="Arial"/>
              </w:rPr>
            </w:pPr>
            <w:r>
              <w:rPr>
                <w:rFonts w:cs="Arial" w:hint="eastAsia"/>
              </w:rPr>
              <w:t>0.3</w:t>
            </w:r>
          </w:p>
        </w:tc>
        <w:tc>
          <w:tcPr>
            <w:tcW w:w="1476" w:type="dxa"/>
            <w:tcBorders>
              <w:top w:val="single" w:sz="4" w:space="0" w:color="auto"/>
              <w:left w:val="nil"/>
              <w:bottom w:val="single" w:sz="4" w:space="0" w:color="auto"/>
              <w:right w:val="single" w:sz="4" w:space="0" w:color="auto"/>
            </w:tcBorders>
            <w:shd w:val="clear" w:color="auto" w:fill="FBD8E8"/>
          </w:tcPr>
          <w:p w:rsidR="007F3C59" w:rsidRDefault="007F3C59">
            <w:pPr>
              <w:pStyle w:val="TAC"/>
            </w:pPr>
          </w:p>
        </w:tc>
        <w:tc>
          <w:tcPr>
            <w:tcW w:w="1476" w:type="dxa"/>
            <w:tcBorders>
              <w:top w:val="single" w:sz="4" w:space="0" w:color="auto"/>
              <w:left w:val="nil"/>
              <w:bottom w:val="single" w:sz="4" w:space="0" w:color="auto"/>
              <w:right w:val="single" w:sz="4" w:space="0" w:color="auto"/>
            </w:tcBorders>
            <w:shd w:val="clear" w:color="auto" w:fill="FBD8E8"/>
          </w:tcPr>
          <w:p w:rsidR="007F3C59" w:rsidRDefault="007F3C59">
            <w:pPr>
              <w:pStyle w:val="TAC"/>
              <w:rPr>
                <w:rFonts w:cs="Arial"/>
              </w:rPr>
            </w:pPr>
          </w:p>
        </w:tc>
      </w:tr>
      <w:tr w:rsidR="007F3C59" w:rsidTr="007F3C59">
        <w:trPr>
          <w:trHeight w:val="187"/>
          <w:jc w:val="center"/>
        </w:trPr>
        <w:tc>
          <w:tcPr>
            <w:tcW w:w="2336" w:type="dxa"/>
            <w:tcBorders>
              <w:top w:val="single" w:sz="4" w:space="0" w:color="auto"/>
              <w:left w:val="single" w:sz="4" w:space="0" w:color="auto"/>
              <w:bottom w:val="nil"/>
              <w:right w:val="single" w:sz="4" w:space="0" w:color="auto"/>
            </w:tcBorders>
            <w:hideMark/>
          </w:tcPr>
          <w:p w:rsidR="007F3C59" w:rsidRDefault="007F3C59">
            <w:pPr>
              <w:pStyle w:val="TAC"/>
            </w:pPr>
            <w:r>
              <w:t>DC_1_n28</w:t>
            </w:r>
          </w:p>
        </w:tc>
        <w:tc>
          <w:tcPr>
            <w:tcW w:w="1476" w:type="dxa"/>
            <w:tcBorders>
              <w:top w:val="single" w:sz="4" w:space="0" w:color="auto"/>
              <w:left w:val="nil"/>
              <w:bottom w:val="single" w:sz="4" w:space="0" w:color="auto"/>
              <w:right w:val="single" w:sz="4" w:space="0" w:color="auto"/>
            </w:tcBorders>
            <w:shd w:val="clear" w:color="auto" w:fill="DEDEDF"/>
            <w:hideMark/>
          </w:tcPr>
          <w:p w:rsidR="007F3C59" w:rsidRDefault="007F3C59">
            <w:pPr>
              <w:pStyle w:val="TAC"/>
            </w:pPr>
            <w:r>
              <w:t>1</w:t>
            </w:r>
          </w:p>
        </w:tc>
        <w:tc>
          <w:tcPr>
            <w:tcW w:w="1476" w:type="dxa"/>
            <w:tcBorders>
              <w:top w:val="single" w:sz="4" w:space="0" w:color="auto"/>
              <w:left w:val="nil"/>
              <w:bottom w:val="single" w:sz="4" w:space="0" w:color="auto"/>
              <w:right w:val="single" w:sz="4" w:space="0" w:color="auto"/>
            </w:tcBorders>
            <w:shd w:val="clear" w:color="auto" w:fill="DEDEDF"/>
            <w:hideMark/>
          </w:tcPr>
          <w:p w:rsidR="007F3C59" w:rsidRDefault="007F3C59">
            <w:pPr>
              <w:pStyle w:val="TAC"/>
            </w:pPr>
            <w:r>
              <w:rPr>
                <w:rFonts w:hint="eastAsia"/>
              </w:rPr>
              <w:t>0.3</w:t>
            </w:r>
          </w:p>
        </w:tc>
        <w:tc>
          <w:tcPr>
            <w:tcW w:w="1476" w:type="dxa"/>
            <w:tcBorders>
              <w:top w:val="single" w:sz="4" w:space="0" w:color="auto"/>
              <w:left w:val="nil"/>
              <w:bottom w:val="single" w:sz="4" w:space="0" w:color="auto"/>
              <w:right w:val="single" w:sz="4" w:space="0" w:color="auto"/>
            </w:tcBorders>
            <w:shd w:val="clear" w:color="auto" w:fill="DEDEDF"/>
            <w:hideMark/>
          </w:tcPr>
          <w:p w:rsidR="007F3C59" w:rsidRDefault="007F3C59">
            <w:pPr>
              <w:pStyle w:val="TAC"/>
            </w:pPr>
            <w:r>
              <w:rPr>
                <w:rFonts w:hint="eastAsia"/>
              </w:rPr>
              <w:t>n28</w:t>
            </w:r>
          </w:p>
        </w:tc>
        <w:tc>
          <w:tcPr>
            <w:tcW w:w="1476" w:type="dxa"/>
            <w:tcBorders>
              <w:top w:val="single" w:sz="4" w:space="0" w:color="auto"/>
              <w:left w:val="nil"/>
              <w:bottom w:val="single" w:sz="4" w:space="0" w:color="auto"/>
              <w:right w:val="single" w:sz="4" w:space="0" w:color="auto"/>
            </w:tcBorders>
            <w:shd w:val="clear" w:color="auto" w:fill="DEDEDF"/>
            <w:hideMark/>
          </w:tcPr>
          <w:p w:rsidR="007F3C59" w:rsidRDefault="007F3C59">
            <w:pPr>
              <w:pStyle w:val="TAC"/>
            </w:pPr>
            <w:r>
              <w:rPr>
                <w:rFonts w:hint="eastAsia"/>
              </w:rPr>
              <w:t>0.6</w:t>
            </w:r>
          </w:p>
        </w:tc>
      </w:tr>
      <w:tr w:rsidR="007F3C59" w:rsidTr="007F3C59">
        <w:trPr>
          <w:trHeight w:val="187"/>
          <w:jc w:val="center"/>
        </w:trPr>
        <w:tc>
          <w:tcPr>
            <w:tcW w:w="2336" w:type="dxa"/>
            <w:tcBorders>
              <w:top w:val="single" w:sz="4" w:space="0" w:color="auto"/>
              <w:left w:val="single" w:sz="4" w:space="0" w:color="auto"/>
              <w:bottom w:val="single" w:sz="4" w:space="0" w:color="auto"/>
              <w:right w:val="single" w:sz="4" w:space="0" w:color="auto"/>
            </w:tcBorders>
            <w:hideMark/>
          </w:tcPr>
          <w:p w:rsidR="007F3C59" w:rsidRDefault="007F3C59">
            <w:pPr>
              <w:pStyle w:val="TAC"/>
            </w:pPr>
            <w:r>
              <w:t>DC_1_n38</w:t>
            </w:r>
          </w:p>
        </w:tc>
        <w:tc>
          <w:tcPr>
            <w:tcW w:w="1476" w:type="dxa"/>
            <w:tcBorders>
              <w:top w:val="single" w:sz="4" w:space="0" w:color="auto"/>
              <w:left w:val="nil"/>
              <w:bottom w:val="single" w:sz="4" w:space="0" w:color="auto"/>
              <w:right w:val="single" w:sz="4" w:space="0" w:color="auto"/>
            </w:tcBorders>
            <w:shd w:val="clear" w:color="auto" w:fill="E29AE1"/>
            <w:hideMark/>
          </w:tcPr>
          <w:p w:rsidR="007F3C59" w:rsidRDefault="007F3C59">
            <w:pPr>
              <w:pStyle w:val="TAC"/>
            </w:pPr>
            <w:r>
              <w:t>1</w:t>
            </w:r>
            <w:r>
              <w:rPr>
                <w:rFonts w:hint="eastAsia"/>
              </w:rPr>
              <w:t>, n38</w:t>
            </w:r>
          </w:p>
        </w:tc>
        <w:tc>
          <w:tcPr>
            <w:tcW w:w="1476" w:type="dxa"/>
            <w:tcBorders>
              <w:top w:val="single" w:sz="4" w:space="0" w:color="auto"/>
              <w:left w:val="nil"/>
              <w:bottom w:val="single" w:sz="4" w:space="0" w:color="auto"/>
              <w:right w:val="single" w:sz="4" w:space="0" w:color="auto"/>
            </w:tcBorders>
            <w:shd w:val="clear" w:color="auto" w:fill="E29AE1"/>
            <w:hideMark/>
          </w:tcPr>
          <w:p w:rsidR="007F3C59" w:rsidRDefault="007F3C59">
            <w:pPr>
              <w:pStyle w:val="TAC"/>
            </w:pPr>
            <w:r>
              <w:rPr>
                <w:rFonts w:hint="eastAsia"/>
              </w:rPr>
              <w:t>0.5</w:t>
            </w:r>
          </w:p>
        </w:tc>
        <w:tc>
          <w:tcPr>
            <w:tcW w:w="1476" w:type="dxa"/>
            <w:tcBorders>
              <w:top w:val="single" w:sz="4" w:space="0" w:color="auto"/>
              <w:left w:val="nil"/>
              <w:bottom w:val="single" w:sz="4" w:space="0" w:color="auto"/>
              <w:right w:val="single" w:sz="4" w:space="0" w:color="auto"/>
            </w:tcBorders>
            <w:shd w:val="clear" w:color="auto" w:fill="E29AE1"/>
          </w:tcPr>
          <w:p w:rsidR="007F3C59" w:rsidRDefault="007F3C59">
            <w:pPr>
              <w:pStyle w:val="TAC"/>
            </w:pPr>
          </w:p>
        </w:tc>
        <w:tc>
          <w:tcPr>
            <w:tcW w:w="1476" w:type="dxa"/>
            <w:tcBorders>
              <w:top w:val="single" w:sz="4" w:space="0" w:color="auto"/>
              <w:left w:val="nil"/>
              <w:bottom w:val="single" w:sz="4" w:space="0" w:color="auto"/>
              <w:right w:val="single" w:sz="4" w:space="0" w:color="auto"/>
            </w:tcBorders>
            <w:shd w:val="clear" w:color="auto" w:fill="E29AE1"/>
            <w:hideMark/>
          </w:tcPr>
          <w:p w:rsidR="007F3C59" w:rsidRDefault="007F3C59">
            <w:pPr>
              <w:pStyle w:val="TAC"/>
            </w:pPr>
          </w:p>
        </w:tc>
      </w:tr>
    </w:tbl>
    <w:p w:rsidR="007F3C59" w:rsidRDefault="007F3C59" w:rsidP="00BB6C5A">
      <w:pPr>
        <w:rPr>
          <w:b/>
        </w:rPr>
      </w:pPr>
    </w:p>
    <w:p w:rsidR="00BB6C5A" w:rsidRDefault="00BB6C5A" w:rsidP="00BB6C5A">
      <w:pPr>
        <w:rPr>
          <w:b/>
        </w:rPr>
      </w:pPr>
      <w:r>
        <w:rPr>
          <w:b/>
        </w:rPr>
        <w:lastRenderedPageBreak/>
        <w:t>Proposal 1:</w:t>
      </w:r>
      <w:r>
        <w:rPr>
          <w:b/>
        </w:rPr>
        <w:tab/>
        <w:t xml:space="preserve"> The template in “</w:t>
      </w:r>
      <w:r w:rsidRPr="00BF66D4">
        <w:rPr>
          <w:b/>
          <w:i/>
          <w:u w:val="single"/>
        </w:rPr>
        <w:t xml:space="preserve">Option </w:t>
      </w:r>
      <w:r>
        <w:rPr>
          <w:b/>
          <w:i/>
          <w:u w:val="single"/>
        </w:rPr>
        <w:t>3</w:t>
      </w:r>
      <w:r>
        <w:rPr>
          <w:b/>
        </w:rPr>
        <w:t>” is suggested for</w:t>
      </w:r>
      <w:r w:rsidRPr="006855C9">
        <w:rPr>
          <w:b/>
        </w:rPr>
        <w:t xml:space="preserve"> ΔT</w:t>
      </w:r>
      <w:r w:rsidRPr="006855C9">
        <w:rPr>
          <w:b/>
          <w:vertAlign w:val="subscript"/>
        </w:rPr>
        <w:t>IB,c</w:t>
      </w:r>
      <w:r w:rsidRPr="006855C9">
        <w:rPr>
          <w:b/>
        </w:rPr>
        <w:t xml:space="preserve"> and ΔR</w:t>
      </w:r>
      <w:r w:rsidRPr="006855C9">
        <w:rPr>
          <w:b/>
          <w:vertAlign w:val="subscript"/>
        </w:rPr>
        <w:t xml:space="preserve">IB,c </w:t>
      </w:r>
      <w:r>
        <w:rPr>
          <w:b/>
        </w:rPr>
        <w:t>tables for CA/DC configurations due to the better simplicity and readability.</w:t>
      </w:r>
    </w:p>
    <w:p w:rsidR="00BB6C5A" w:rsidRDefault="004C2B71" w:rsidP="00BB6C5A">
      <w:pPr>
        <w:rPr>
          <w:b/>
        </w:rPr>
      </w:pPr>
      <w:r>
        <w:rPr>
          <w:b/>
        </w:rPr>
        <w:t>Proposal 2:</w:t>
      </w:r>
      <w:r>
        <w:rPr>
          <w:b/>
        </w:rPr>
        <w:tab/>
      </w:r>
      <w:r w:rsidRPr="00F33F0F">
        <w:rPr>
          <w:b/>
        </w:rPr>
        <w:t xml:space="preserve"> It is recommended to collect the agreements into the newly approved TR for “band combination handling” for now and apply the new template </w:t>
      </w:r>
      <w:r>
        <w:rPr>
          <w:b/>
        </w:rPr>
        <w:t xml:space="preserve">for </w:t>
      </w:r>
      <w:r w:rsidRPr="006855C9">
        <w:rPr>
          <w:b/>
        </w:rPr>
        <w:t>ΔT</w:t>
      </w:r>
      <w:r w:rsidRPr="006855C9">
        <w:rPr>
          <w:b/>
          <w:vertAlign w:val="subscript"/>
        </w:rPr>
        <w:t>IB,c</w:t>
      </w:r>
      <w:r w:rsidRPr="006855C9">
        <w:rPr>
          <w:b/>
        </w:rPr>
        <w:t xml:space="preserve"> and ΔR</w:t>
      </w:r>
      <w:r w:rsidRPr="006855C9">
        <w:rPr>
          <w:b/>
          <w:vertAlign w:val="subscript"/>
        </w:rPr>
        <w:t xml:space="preserve">IB,c </w:t>
      </w:r>
      <w:r w:rsidRPr="00F33F0F">
        <w:rPr>
          <w:b/>
        </w:rPr>
        <w:t>in “Option 3” before the end of Rel-17.</w:t>
      </w:r>
    </w:p>
    <w:p w:rsidR="0024260C" w:rsidRPr="0024260C" w:rsidRDefault="0024260C"/>
    <w:p w:rsidR="00AD1856" w:rsidRDefault="00AD1856">
      <w:pPr>
        <w:pStyle w:val="1"/>
      </w:pPr>
      <w:r>
        <w:t>4</w:t>
      </w:r>
      <w:r>
        <w:tab/>
        <w:t>References</w:t>
      </w:r>
    </w:p>
    <w:p w:rsidR="00D014DF" w:rsidRDefault="00D014DF" w:rsidP="00D014DF">
      <w:pPr>
        <w:pStyle w:val="EX"/>
      </w:pPr>
      <w:bookmarkStart w:id="3" w:name="_Ref13820109"/>
      <w:r>
        <w:t xml:space="preserve">R4-2100120, </w:t>
      </w:r>
      <w:r w:rsidRPr="00D014DF">
        <w:t>On optimization for band combination in RAN4 specifications</w:t>
      </w:r>
      <w:r>
        <w:t>, ZTE Corporation</w:t>
      </w:r>
    </w:p>
    <w:p w:rsidR="00B57417" w:rsidRDefault="00E16EE0" w:rsidP="00D014DF">
      <w:pPr>
        <w:pStyle w:val="EX"/>
      </w:pPr>
      <w:r>
        <w:rPr>
          <w:rFonts w:hint="eastAsia"/>
        </w:rPr>
        <w:t>R</w:t>
      </w:r>
      <w:r>
        <w:t xml:space="preserve">4-2103286, </w:t>
      </w:r>
      <w:r w:rsidR="00235881" w:rsidRPr="00E16EE0">
        <w:t>WF on Simplification on ΔT</w:t>
      </w:r>
      <w:r w:rsidR="00235881" w:rsidRPr="00E16EE0">
        <w:rPr>
          <w:vertAlign w:val="subscript"/>
        </w:rPr>
        <w:t>IB,c</w:t>
      </w:r>
      <w:r w:rsidR="00235881" w:rsidRPr="00E16EE0">
        <w:t xml:space="preserve"> and ΔR</w:t>
      </w:r>
      <w:r w:rsidR="00235881" w:rsidRPr="00E16EE0">
        <w:rPr>
          <w:vertAlign w:val="subscript"/>
        </w:rPr>
        <w:t>IB,c</w:t>
      </w:r>
      <w:r w:rsidR="00235881" w:rsidRPr="00E16EE0">
        <w:t xml:space="preserve"> tables for band combinations</w:t>
      </w:r>
      <w:r w:rsidR="00235881">
        <w:t>, Nokia, Nokia Shanghai Bell</w:t>
      </w:r>
    </w:p>
    <w:p w:rsidR="00BB6C5A" w:rsidRDefault="00BB6C5A" w:rsidP="00BB6C5A">
      <w:pPr>
        <w:pStyle w:val="EX"/>
      </w:pPr>
      <w:r w:rsidRPr="00E121D1">
        <w:t xml:space="preserve">R4-2103339, </w:t>
      </w:r>
      <w:r w:rsidRPr="00E121D1">
        <w:rPr>
          <w:rFonts w:hint="eastAsia"/>
        </w:rPr>
        <w:t xml:space="preserve">Email discussion summary for </w:t>
      </w:r>
      <w:r w:rsidRPr="00E121D1">
        <w:t>[98e][153] BC_simplification, NTT Docomo</w:t>
      </w:r>
    </w:p>
    <w:p w:rsidR="00BB6C5A" w:rsidRDefault="00BB6C5A" w:rsidP="00BB6C5A">
      <w:pPr>
        <w:pStyle w:val="EX"/>
      </w:pPr>
      <w:r>
        <w:t>RP-210773, New SID: Study on band combination handling in RAN4, ZTE Corporation</w:t>
      </w:r>
    </w:p>
    <w:bookmarkEnd w:id="0"/>
    <w:bookmarkEnd w:id="3"/>
    <w:p w:rsidR="003252F6" w:rsidRDefault="003252F6" w:rsidP="00BB6C5A">
      <w:pPr>
        <w:pStyle w:val="EX"/>
        <w:numPr>
          <w:ilvl w:val="0"/>
          <w:numId w:val="0"/>
        </w:numPr>
      </w:pPr>
    </w:p>
    <w:sectPr w:rsidR="003252F6">
      <w:headerReference w:type="default" r:id="rId15"/>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4C2" w:rsidRDefault="00F864C2">
      <w:r>
        <w:separator/>
      </w:r>
    </w:p>
  </w:endnote>
  <w:endnote w:type="continuationSeparator" w:id="0">
    <w:p w:rsidR="00F864C2" w:rsidRDefault="00F8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4C2" w:rsidRDefault="00F864C2">
      <w:r>
        <w:separator/>
      </w:r>
    </w:p>
  </w:footnote>
  <w:footnote w:type="continuationSeparator" w:id="0">
    <w:p w:rsidR="00F864C2" w:rsidRDefault="00F86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F0F" w:rsidRDefault="00F33F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3D7A">
      <w:rPr>
        <w:rFonts w:ascii="Arial" w:hAnsi="Arial" w:cs="Arial"/>
        <w:b/>
        <w:noProof/>
        <w:sz w:val="18"/>
        <w:szCs w:val="18"/>
      </w:rPr>
      <w:t>6</w:t>
    </w:r>
    <w:r>
      <w:rPr>
        <w:rFonts w:ascii="Arial" w:hAnsi="Arial" w:cs="Arial"/>
        <w:b/>
        <w:sz w:val="18"/>
        <w:szCs w:val="18"/>
      </w:rPr>
      <w:fldChar w:fldCharType="end"/>
    </w:r>
  </w:p>
  <w:p w:rsidR="00F33F0F" w:rsidRDefault="00F33F0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5">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5"/>
  </w:num>
  <w:num w:numId="3">
    <w:abstractNumId w:val="8"/>
  </w:num>
  <w:num w:numId="4">
    <w:abstractNumId w:val="1"/>
  </w:num>
  <w:num w:numId="5">
    <w:abstractNumId w:val="7"/>
  </w:num>
  <w:num w:numId="6">
    <w:abstractNumId w:val="2"/>
  </w:num>
  <w:num w:numId="7">
    <w:abstractNumId w:val="9"/>
  </w:num>
  <w:num w:numId="8">
    <w:abstractNumId w:val="20"/>
  </w:num>
  <w:num w:numId="9">
    <w:abstractNumId w:val="4"/>
  </w:num>
  <w:num w:numId="10">
    <w:abstractNumId w:val="13"/>
  </w:num>
  <w:num w:numId="11">
    <w:abstractNumId w:val="5"/>
  </w:num>
  <w:num w:numId="12">
    <w:abstractNumId w:val="10"/>
  </w:num>
  <w:num w:numId="13">
    <w:abstractNumId w:val="17"/>
  </w:num>
  <w:num w:numId="14">
    <w:abstractNumId w:val="21"/>
  </w:num>
  <w:num w:numId="15">
    <w:abstractNumId w:val="0"/>
  </w:num>
  <w:num w:numId="16">
    <w:abstractNumId w:val="23"/>
  </w:num>
  <w:num w:numId="17">
    <w:abstractNumId w:val="11"/>
  </w:num>
  <w:num w:numId="18">
    <w:abstractNumId w:val="1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18"/>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80512"/>
    <w:rsid w:val="00082455"/>
    <w:rsid w:val="00090A39"/>
    <w:rsid w:val="00090BC9"/>
    <w:rsid w:val="0009106E"/>
    <w:rsid w:val="00091FBB"/>
    <w:rsid w:val="00091FC7"/>
    <w:rsid w:val="000932CB"/>
    <w:rsid w:val="00095444"/>
    <w:rsid w:val="000955C7"/>
    <w:rsid w:val="000A365D"/>
    <w:rsid w:val="000A68F3"/>
    <w:rsid w:val="000B0227"/>
    <w:rsid w:val="000B104F"/>
    <w:rsid w:val="000B1DDC"/>
    <w:rsid w:val="000B1E07"/>
    <w:rsid w:val="000B4EBA"/>
    <w:rsid w:val="000B55B9"/>
    <w:rsid w:val="000C06B1"/>
    <w:rsid w:val="000C3B8A"/>
    <w:rsid w:val="000C3BF9"/>
    <w:rsid w:val="000C47C3"/>
    <w:rsid w:val="000C62A3"/>
    <w:rsid w:val="000D58AB"/>
    <w:rsid w:val="000E193B"/>
    <w:rsid w:val="000F38D5"/>
    <w:rsid w:val="000F57D2"/>
    <w:rsid w:val="000F6D6D"/>
    <w:rsid w:val="00100493"/>
    <w:rsid w:val="00100717"/>
    <w:rsid w:val="001047D1"/>
    <w:rsid w:val="00104BC6"/>
    <w:rsid w:val="00104D38"/>
    <w:rsid w:val="001066D4"/>
    <w:rsid w:val="00106AD4"/>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3525"/>
    <w:rsid w:val="001348EF"/>
    <w:rsid w:val="001352E7"/>
    <w:rsid w:val="00142327"/>
    <w:rsid w:val="001441EE"/>
    <w:rsid w:val="001542E0"/>
    <w:rsid w:val="001578DB"/>
    <w:rsid w:val="00157AD0"/>
    <w:rsid w:val="00160B0A"/>
    <w:rsid w:val="00161B17"/>
    <w:rsid w:val="00162FC7"/>
    <w:rsid w:val="0016471A"/>
    <w:rsid w:val="00165394"/>
    <w:rsid w:val="00165C34"/>
    <w:rsid w:val="00170E45"/>
    <w:rsid w:val="001717C0"/>
    <w:rsid w:val="001728FA"/>
    <w:rsid w:val="0017321F"/>
    <w:rsid w:val="001733A9"/>
    <w:rsid w:val="001739E3"/>
    <w:rsid w:val="0018294C"/>
    <w:rsid w:val="00184F79"/>
    <w:rsid w:val="00186C8D"/>
    <w:rsid w:val="00193095"/>
    <w:rsid w:val="00195E7B"/>
    <w:rsid w:val="00197BF1"/>
    <w:rsid w:val="001A1500"/>
    <w:rsid w:val="001A2D84"/>
    <w:rsid w:val="001A41DD"/>
    <w:rsid w:val="001A4C42"/>
    <w:rsid w:val="001A5505"/>
    <w:rsid w:val="001A6EFD"/>
    <w:rsid w:val="001A74C3"/>
    <w:rsid w:val="001B079D"/>
    <w:rsid w:val="001B4C2D"/>
    <w:rsid w:val="001B6C45"/>
    <w:rsid w:val="001B7683"/>
    <w:rsid w:val="001B7742"/>
    <w:rsid w:val="001C006C"/>
    <w:rsid w:val="001C21C3"/>
    <w:rsid w:val="001C3532"/>
    <w:rsid w:val="001C42DB"/>
    <w:rsid w:val="001C623F"/>
    <w:rsid w:val="001D02C2"/>
    <w:rsid w:val="001D4333"/>
    <w:rsid w:val="001D48BB"/>
    <w:rsid w:val="001D4EB8"/>
    <w:rsid w:val="001E1255"/>
    <w:rsid w:val="001E1D4A"/>
    <w:rsid w:val="001E2F64"/>
    <w:rsid w:val="001E7632"/>
    <w:rsid w:val="001F0C1D"/>
    <w:rsid w:val="001F1132"/>
    <w:rsid w:val="001F168B"/>
    <w:rsid w:val="001F6633"/>
    <w:rsid w:val="001F7883"/>
    <w:rsid w:val="00202558"/>
    <w:rsid w:val="002027A9"/>
    <w:rsid w:val="002057E4"/>
    <w:rsid w:val="00211AD4"/>
    <w:rsid w:val="00216170"/>
    <w:rsid w:val="00216751"/>
    <w:rsid w:val="002167C4"/>
    <w:rsid w:val="00221491"/>
    <w:rsid w:val="00225CBD"/>
    <w:rsid w:val="0022714A"/>
    <w:rsid w:val="00230F98"/>
    <w:rsid w:val="0023105B"/>
    <w:rsid w:val="00232119"/>
    <w:rsid w:val="00234541"/>
    <w:rsid w:val="002347A2"/>
    <w:rsid w:val="00235881"/>
    <w:rsid w:val="002363B5"/>
    <w:rsid w:val="0024260C"/>
    <w:rsid w:val="002466C4"/>
    <w:rsid w:val="00246D74"/>
    <w:rsid w:val="00247926"/>
    <w:rsid w:val="0025432B"/>
    <w:rsid w:val="00262E83"/>
    <w:rsid w:val="00263001"/>
    <w:rsid w:val="00264BA8"/>
    <w:rsid w:val="002675F0"/>
    <w:rsid w:val="00270533"/>
    <w:rsid w:val="00272B54"/>
    <w:rsid w:val="00273869"/>
    <w:rsid w:val="00276EE4"/>
    <w:rsid w:val="002771C6"/>
    <w:rsid w:val="0027773F"/>
    <w:rsid w:val="00293788"/>
    <w:rsid w:val="0029574A"/>
    <w:rsid w:val="00295E6A"/>
    <w:rsid w:val="002A6B0A"/>
    <w:rsid w:val="002A7480"/>
    <w:rsid w:val="002A7588"/>
    <w:rsid w:val="002B4274"/>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43E9"/>
    <w:rsid w:val="0033477C"/>
    <w:rsid w:val="0034022F"/>
    <w:rsid w:val="0034052F"/>
    <w:rsid w:val="00341FCA"/>
    <w:rsid w:val="00343F73"/>
    <w:rsid w:val="003441E3"/>
    <w:rsid w:val="0034597D"/>
    <w:rsid w:val="0034704B"/>
    <w:rsid w:val="00347773"/>
    <w:rsid w:val="00350464"/>
    <w:rsid w:val="00352089"/>
    <w:rsid w:val="0035462D"/>
    <w:rsid w:val="00357629"/>
    <w:rsid w:val="00361F4F"/>
    <w:rsid w:val="003632A8"/>
    <w:rsid w:val="003653E8"/>
    <w:rsid w:val="003715E3"/>
    <w:rsid w:val="00371BCC"/>
    <w:rsid w:val="0037399D"/>
    <w:rsid w:val="003743D2"/>
    <w:rsid w:val="00376088"/>
    <w:rsid w:val="003765B8"/>
    <w:rsid w:val="00381764"/>
    <w:rsid w:val="003827BB"/>
    <w:rsid w:val="00391A73"/>
    <w:rsid w:val="0039425C"/>
    <w:rsid w:val="0039769B"/>
    <w:rsid w:val="003A0483"/>
    <w:rsid w:val="003A2820"/>
    <w:rsid w:val="003A476E"/>
    <w:rsid w:val="003A59CF"/>
    <w:rsid w:val="003B47E8"/>
    <w:rsid w:val="003B5808"/>
    <w:rsid w:val="003C0673"/>
    <w:rsid w:val="003C0A48"/>
    <w:rsid w:val="003C154C"/>
    <w:rsid w:val="003C3971"/>
    <w:rsid w:val="003C6271"/>
    <w:rsid w:val="003D2E90"/>
    <w:rsid w:val="003D6E74"/>
    <w:rsid w:val="003E219C"/>
    <w:rsid w:val="003E3030"/>
    <w:rsid w:val="003E4CE1"/>
    <w:rsid w:val="003E7753"/>
    <w:rsid w:val="003F19E4"/>
    <w:rsid w:val="003F6B60"/>
    <w:rsid w:val="00401D17"/>
    <w:rsid w:val="00405C84"/>
    <w:rsid w:val="00406FCD"/>
    <w:rsid w:val="0041092D"/>
    <w:rsid w:val="004209EB"/>
    <w:rsid w:val="00423334"/>
    <w:rsid w:val="0042345C"/>
    <w:rsid w:val="00423EE1"/>
    <w:rsid w:val="004344EA"/>
    <w:rsid w:val="00434511"/>
    <w:rsid w:val="004345EC"/>
    <w:rsid w:val="00435EF2"/>
    <w:rsid w:val="0044021D"/>
    <w:rsid w:val="00441DCF"/>
    <w:rsid w:val="00454711"/>
    <w:rsid w:val="004547A7"/>
    <w:rsid w:val="00457BBA"/>
    <w:rsid w:val="004601A7"/>
    <w:rsid w:val="00461AEB"/>
    <w:rsid w:val="00462D48"/>
    <w:rsid w:val="0046463F"/>
    <w:rsid w:val="00471B35"/>
    <w:rsid w:val="00473F39"/>
    <w:rsid w:val="00474F6B"/>
    <w:rsid w:val="004758A1"/>
    <w:rsid w:val="0048130F"/>
    <w:rsid w:val="004826A9"/>
    <w:rsid w:val="0048391E"/>
    <w:rsid w:val="00485280"/>
    <w:rsid w:val="00491FF8"/>
    <w:rsid w:val="004928F6"/>
    <w:rsid w:val="00493E0F"/>
    <w:rsid w:val="00496622"/>
    <w:rsid w:val="004A1045"/>
    <w:rsid w:val="004A30E8"/>
    <w:rsid w:val="004A5FAB"/>
    <w:rsid w:val="004A78E7"/>
    <w:rsid w:val="004A7BCC"/>
    <w:rsid w:val="004B1E2D"/>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F0988"/>
    <w:rsid w:val="004F3340"/>
    <w:rsid w:val="004F3E3D"/>
    <w:rsid w:val="004F72C4"/>
    <w:rsid w:val="0050054D"/>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7800"/>
    <w:rsid w:val="00560DC1"/>
    <w:rsid w:val="005611D7"/>
    <w:rsid w:val="00561436"/>
    <w:rsid w:val="0056425A"/>
    <w:rsid w:val="00565087"/>
    <w:rsid w:val="00565195"/>
    <w:rsid w:val="005668F0"/>
    <w:rsid w:val="00566F60"/>
    <w:rsid w:val="00570E40"/>
    <w:rsid w:val="00572E14"/>
    <w:rsid w:val="00576BC0"/>
    <w:rsid w:val="00580E88"/>
    <w:rsid w:val="005830A3"/>
    <w:rsid w:val="005843BA"/>
    <w:rsid w:val="00584D5F"/>
    <w:rsid w:val="00585F44"/>
    <w:rsid w:val="005900F2"/>
    <w:rsid w:val="00594CF4"/>
    <w:rsid w:val="00594E29"/>
    <w:rsid w:val="00596F4A"/>
    <w:rsid w:val="005972D3"/>
    <w:rsid w:val="005973BE"/>
    <w:rsid w:val="005A333A"/>
    <w:rsid w:val="005A5986"/>
    <w:rsid w:val="005A62F8"/>
    <w:rsid w:val="005B6BAE"/>
    <w:rsid w:val="005C240F"/>
    <w:rsid w:val="005C40F5"/>
    <w:rsid w:val="005C6D5F"/>
    <w:rsid w:val="005C76D0"/>
    <w:rsid w:val="005D1F30"/>
    <w:rsid w:val="005D2E01"/>
    <w:rsid w:val="005D443C"/>
    <w:rsid w:val="005D474F"/>
    <w:rsid w:val="005D7526"/>
    <w:rsid w:val="005E13C4"/>
    <w:rsid w:val="005E1BEE"/>
    <w:rsid w:val="005E2C62"/>
    <w:rsid w:val="005E3EA4"/>
    <w:rsid w:val="005E69AE"/>
    <w:rsid w:val="005F0E07"/>
    <w:rsid w:val="005F25DE"/>
    <w:rsid w:val="005F366B"/>
    <w:rsid w:val="005F5375"/>
    <w:rsid w:val="00602AEA"/>
    <w:rsid w:val="006063BB"/>
    <w:rsid w:val="00607E3C"/>
    <w:rsid w:val="00610AE6"/>
    <w:rsid w:val="00611C23"/>
    <w:rsid w:val="00613C2E"/>
    <w:rsid w:val="00614FDF"/>
    <w:rsid w:val="00615C99"/>
    <w:rsid w:val="00616254"/>
    <w:rsid w:val="006246A7"/>
    <w:rsid w:val="0062595A"/>
    <w:rsid w:val="00630CFB"/>
    <w:rsid w:val="00634DDB"/>
    <w:rsid w:val="0063543D"/>
    <w:rsid w:val="006372D3"/>
    <w:rsid w:val="0064113D"/>
    <w:rsid w:val="006454A0"/>
    <w:rsid w:val="00646BF4"/>
    <w:rsid w:val="00647114"/>
    <w:rsid w:val="006512C0"/>
    <w:rsid w:val="00652B23"/>
    <w:rsid w:val="0065338E"/>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323F"/>
    <w:rsid w:val="006A7086"/>
    <w:rsid w:val="006B1AA6"/>
    <w:rsid w:val="006B30D0"/>
    <w:rsid w:val="006B5AC6"/>
    <w:rsid w:val="006C167D"/>
    <w:rsid w:val="006C3D95"/>
    <w:rsid w:val="006C6199"/>
    <w:rsid w:val="006C68A9"/>
    <w:rsid w:val="006C6B44"/>
    <w:rsid w:val="006C6C51"/>
    <w:rsid w:val="006D096B"/>
    <w:rsid w:val="006D324A"/>
    <w:rsid w:val="006D76A9"/>
    <w:rsid w:val="006E1B93"/>
    <w:rsid w:val="006E2A95"/>
    <w:rsid w:val="006E3687"/>
    <w:rsid w:val="006E3E71"/>
    <w:rsid w:val="006E5C86"/>
    <w:rsid w:val="006E64C0"/>
    <w:rsid w:val="006F49E6"/>
    <w:rsid w:val="006F59C7"/>
    <w:rsid w:val="007045AF"/>
    <w:rsid w:val="00710F89"/>
    <w:rsid w:val="0071234D"/>
    <w:rsid w:val="00713C44"/>
    <w:rsid w:val="0072103D"/>
    <w:rsid w:val="00724320"/>
    <w:rsid w:val="00734850"/>
    <w:rsid w:val="00734A5B"/>
    <w:rsid w:val="0074026F"/>
    <w:rsid w:val="007429F6"/>
    <w:rsid w:val="0074356A"/>
    <w:rsid w:val="0074377F"/>
    <w:rsid w:val="00743B11"/>
    <w:rsid w:val="00744744"/>
    <w:rsid w:val="00744E76"/>
    <w:rsid w:val="007505F4"/>
    <w:rsid w:val="00752198"/>
    <w:rsid w:val="007536C1"/>
    <w:rsid w:val="00753881"/>
    <w:rsid w:val="0075676B"/>
    <w:rsid w:val="00756ABD"/>
    <w:rsid w:val="00763820"/>
    <w:rsid w:val="00764943"/>
    <w:rsid w:val="00767480"/>
    <w:rsid w:val="0077202E"/>
    <w:rsid w:val="0077229C"/>
    <w:rsid w:val="00774972"/>
    <w:rsid w:val="00774DA4"/>
    <w:rsid w:val="00775DE3"/>
    <w:rsid w:val="00781F0F"/>
    <w:rsid w:val="00791445"/>
    <w:rsid w:val="00791E88"/>
    <w:rsid w:val="00792230"/>
    <w:rsid w:val="007A0820"/>
    <w:rsid w:val="007A131E"/>
    <w:rsid w:val="007A272E"/>
    <w:rsid w:val="007A4363"/>
    <w:rsid w:val="007A4ABD"/>
    <w:rsid w:val="007B1DA6"/>
    <w:rsid w:val="007B4007"/>
    <w:rsid w:val="007B600E"/>
    <w:rsid w:val="007B72EF"/>
    <w:rsid w:val="007C2486"/>
    <w:rsid w:val="007C2D04"/>
    <w:rsid w:val="007C2E5B"/>
    <w:rsid w:val="007C373C"/>
    <w:rsid w:val="007C4186"/>
    <w:rsid w:val="007C41FA"/>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9D6"/>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A1094"/>
    <w:rsid w:val="008A1CE8"/>
    <w:rsid w:val="008A578A"/>
    <w:rsid w:val="008B1724"/>
    <w:rsid w:val="008C384C"/>
    <w:rsid w:val="008C48B5"/>
    <w:rsid w:val="008C4F93"/>
    <w:rsid w:val="008C4F98"/>
    <w:rsid w:val="008D0837"/>
    <w:rsid w:val="008D228C"/>
    <w:rsid w:val="008D368E"/>
    <w:rsid w:val="008D3F49"/>
    <w:rsid w:val="008D4762"/>
    <w:rsid w:val="008E1F5A"/>
    <w:rsid w:val="008E35EF"/>
    <w:rsid w:val="008E415C"/>
    <w:rsid w:val="008E43BC"/>
    <w:rsid w:val="008E73BB"/>
    <w:rsid w:val="008E7986"/>
    <w:rsid w:val="008F2207"/>
    <w:rsid w:val="008F2F51"/>
    <w:rsid w:val="008F40AD"/>
    <w:rsid w:val="008F41BA"/>
    <w:rsid w:val="008F6583"/>
    <w:rsid w:val="0090271F"/>
    <w:rsid w:val="00902E23"/>
    <w:rsid w:val="009032AE"/>
    <w:rsid w:val="00904DC4"/>
    <w:rsid w:val="00905CF4"/>
    <w:rsid w:val="00910E20"/>
    <w:rsid w:val="009113E6"/>
    <w:rsid w:val="009114D7"/>
    <w:rsid w:val="00911689"/>
    <w:rsid w:val="0091348E"/>
    <w:rsid w:val="00913DEC"/>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36B4"/>
    <w:rsid w:val="00964C3C"/>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2A55"/>
    <w:rsid w:val="009B4FC5"/>
    <w:rsid w:val="009C091A"/>
    <w:rsid w:val="009C7D05"/>
    <w:rsid w:val="009D1301"/>
    <w:rsid w:val="009D3BAD"/>
    <w:rsid w:val="009D3E65"/>
    <w:rsid w:val="009D525E"/>
    <w:rsid w:val="009E0ABB"/>
    <w:rsid w:val="009E5870"/>
    <w:rsid w:val="009E6EF9"/>
    <w:rsid w:val="009F2D20"/>
    <w:rsid w:val="009F37B7"/>
    <w:rsid w:val="009F438C"/>
    <w:rsid w:val="009F5E43"/>
    <w:rsid w:val="009F6611"/>
    <w:rsid w:val="00A0660B"/>
    <w:rsid w:val="00A10F02"/>
    <w:rsid w:val="00A1181E"/>
    <w:rsid w:val="00A12353"/>
    <w:rsid w:val="00A164B4"/>
    <w:rsid w:val="00A17AB3"/>
    <w:rsid w:val="00A20F34"/>
    <w:rsid w:val="00A22E14"/>
    <w:rsid w:val="00A23F9F"/>
    <w:rsid w:val="00A26956"/>
    <w:rsid w:val="00A2740C"/>
    <w:rsid w:val="00A27817"/>
    <w:rsid w:val="00A40E64"/>
    <w:rsid w:val="00A41F9F"/>
    <w:rsid w:val="00A43588"/>
    <w:rsid w:val="00A45AE1"/>
    <w:rsid w:val="00A45FBE"/>
    <w:rsid w:val="00A46C3E"/>
    <w:rsid w:val="00A5228B"/>
    <w:rsid w:val="00A53724"/>
    <w:rsid w:val="00A614CC"/>
    <w:rsid w:val="00A61D21"/>
    <w:rsid w:val="00A64DC7"/>
    <w:rsid w:val="00A708B4"/>
    <w:rsid w:val="00A721CC"/>
    <w:rsid w:val="00A73129"/>
    <w:rsid w:val="00A75E72"/>
    <w:rsid w:val="00A81723"/>
    <w:rsid w:val="00A822F3"/>
    <w:rsid w:val="00A82316"/>
    <w:rsid w:val="00A82346"/>
    <w:rsid w:val="00A920E3"/>
    <w:rsid w:val="00A92BA1"/>
    <w:rsid w:val="00A95CF7"/>
    <w:rsid w:val="00A95FA5"/>
    <w:rsid w:val="00A97026"/>
    <w:rsid w:val="00AA1DEE"/>
    <w:rsid w:val="00AA756E"/>
    <w:rsid w:val="00AA7587"/>
    <w:rsid w:val="00AA7E03"/>
    <w:rsid w:val="00AC0712"/>
    <w:rsid w:val="00AC0F82"/>
    <w:rsid w:val="00AC1894"/>
    <w:rsid w:val="00AC44E4"/>
    <w:rsid w:val="00AC64FE"/>
    <w:rsid w:val="00AC6BC6"/>
    <w:rsid w:val="00AD02DD"/>
    <w:rsid w:val="00AD1856"/>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551F"/>
    <w:rsid w:val="00B06B5A"/>
    <w:rsid w:val="00B106AD"/>
    <w:rsid w:val="00B13A90"/>
    <w:rsid w:val="00B15449"/>
    <w:rsid w:val="00B1778C"/>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35D3"/>
    <w:rsid w:val="00B558D0"/>
    <w:rsid w:val="00B57417"/>
    <w:rsid w:val="00B64156"/>
    <w:rsid w:val="00B64C9C"/>
    <w:rsid w:val="00B6548D"/>
    <w:rsid w:val="00B66323"/>
    <w:rsid w:val="00B665B8"/>
    <w:rsid w:val="00B6755C"/>
    <w:rsid w:val="00B67C14"/>
    <w:rsid w:val="00B721D0"/>
    <w:rsid w:val="00B76439"/>
    <w:rsid w:val="00B77BE0"/>
    <w:rsid w:val="00B825DA"/>
    <w:rsid w:val="00B85868"/>
    <w:rsid w:val="00B86886"/>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C0F7D"/>
    <w:rsid w:val="00BC2F9D"/>
    <w:rsid w:val="00BC37A8"/>
    <w:rsid w:val="00BC5463"/>
    <w:rsid w:val="00BD0FE0"/>
    <w:rsid w:val="00BD1748"/>
    <w:rsid w:val="00BD1FBB"/>
    <w:rsid w:val="00BD5E89"/>
    <w:rsid w:val="00BE072C"/>
    <w:rsid w:val="00BE0782"/>
    <w:rsid w:val="00BE3255"/>
    <w:rsid w:val="00BE56B0"/>
    <w:rsid w:val="00BF128E"/>
    <w:rsid w:val="00BF4164"/>
    <w:rsid w:val="00BF45DE"/>
    <w:rsid w:val="00BF518B"/>
    <w:rsid w:val="00BF66D4"/>
    <w:rsid w:val="00C015B3"/>
    <w:rsid w:val="00C02233"/>
    <w:rsid w:val="00C025F6"/>
    <w:rsid w:val="00C02751"/>
    <w:rsid w:val="00C06A0B"/>
    <w:rsid w:val="00C11BD3"/>
    <w:rsid w:val="00C13B16"/>
    <w:rsid w:val="00C1496A"/>
    <w:rsid w:val="00C204C2"/>
    <w:rsid w:val="00C27DE7"/>
    <w:rsid w:val="00C33079"/>
    <w:rsid w:val="00C33B74"/>
    <w:rsid w:val="00C35C91"/>
    <w:rsid w:val="00C40C96"/>
    <w:rsid w:val="00C415ED"/>
    <w:rsid w:val="00C429E7"/>
    <w:rsid w:val="00C434B1"/>
    <w:rsid w:val="00C43D92"/>
    <w:rsid w:val="00C45231"/>
    <w:rsid w:val="00C47EC7"/>
    <w:rsid w:val="00C54191"/>
    <w:rsid w:val="00C66B84"/>
    <w:rsid w:val="00C67A83"/>
    <w:rsid w:val="00C72833"/>
    <w:rsid w:val="00C73941"/>
    <w:rsid w:val="00C73CED"/>
    <w:rsid w:val="00C80F1D"/>
    <w:rsid w:val="00C82A7E"/>
    <w:rsid w:val="00C8364C"/>
    <w:rsid w:val="00C84A93"/>
    <w:rsid w:val="00C863AA"/>
    <w:rsid w:val="00C8728F"/>
    <w:rsid w:val="00C91207"/>
    <w:rsid w:val="00C91452"/>
    <w:rsid w:val="00C91A2A"/>
    <w:rsid w:val="00C929EA"/>
    <w:rsid w:val="00C93216"/>
    <w:rsid w:val="00C93F40"/>
    <w:rsid w:val="00C9523C"/>
    <w:rsid w:val="00C9528E"/>
    <w:rsid w:val="00CA3D0C"/>
    <w:rsid w:val="00CA571E"/>
    <w:rsid w:val="00CA5B04"/>
    <w:rsid w:val="00CA6BDC"/>
    <w:rsid w:val="00CA7EC0"/>
    <w:rsid w:val="00CB38C3"/>
    <w:rsid w:val="00CB38D7"/>
    <w:rsid w:val="00CB493D"/>
    <w:rsid w:val="00CC128A"/>
    <w:rsid w:val="00CC2556"/>
    <w:rsid w:val="00CC7F5F"/>
    <w:rsid w:val="00CD137C"/>
    <w:rsid w:val="00CD3C45"/>
    <w:rsid w:val="00CD4021"/>
    <w:rsid w:val="00CD5A51"/>
    <w:rsid w:val="00CD7442"/>
    <w:rsid w:val="00CD75C8"/>
    <w:rsid w:val="00CE3DAB"/>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30317"/>
    <w:rsid w:val="00D309CC"/>
    <w:rsid w:val="00D310DB"/>
    <w:rsid w:val="00D33315"/>
    <w:rsid w:val="00D33BC4"/>
    <w:rsid w:val="00D40582"/>
    <w:rsid w:val="00D43600"/>
    <w:rsid w:val="00D439E7"/>
    <w:rsid w:val="00D43D7A"/>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134D"/>
    <w:rsid w:val="00D91864"/>
    <w:rsid w:val="00D9214A"/>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5880"/>
    <w:rsid w:val="00DF05CD"/>
    <w:rsid w:val="00DF215F"/>
    <w:rsid w:val="00DF2B1F"/>
    <w:rsid w:val="00DF5B5C"/>
    <w:rsid w:val="00DF6189"/>
    <w:rsid w:val="00DF62CD"/>
    <w:rsid w:val="00E0246E"/>
    <w:rsid w:val="00E034D1"/>
    <w:rsid w:val="00E047C8"/>
    <w:rsid w:val="00E10728"/>
    <w:rsid w:val="00E121D1"/>
    <w:rsid w:val="00E13DA2"/>
    <w:rsid w:val="00E16509"/>
    <w:rsid w:val="00E16EE0"/>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3E2C"/>
    <w:rsid w:val="00E85DBC"/>
    <w:rsid w:val="00E86E0C"/>
    <w:rsid w:val="00E87976"/>
    <w:rsid w:val="00E96F61"/>
    <w:rsid w:val="00EA087C"/>
    <w:rsid w:val="00EA74A4"/>
    <w:rsid w:val="00EB6795"/>
    <w:rsid w:val="00EC0622"/>
    <w:rsid w:val="00EC1B72"/>
    <w:rsid w:val="00EC4A25"/>
    <w:rsid w:val="00ED01D2"/>
    <w:rsid w:val="00ED0BE8"/>
    <w:rsid w:val="00ED2BD2"/>
    <w:rsid w:val="00ED41A4"/>
    <w:rsid w:val="00ED438D"/>
    <w:rsid w:val="00ED43E0"/>
    <w:rsid w:val="00ED5ECC"/>
    <w:rsid w:val="00EE089F"/>
    <w:rsid w:val="00EE0FA8"/>
    <w:rsid w:val="00EE17E0"/>
    <w:rsid w:val="00EE5AA7"/>
    <w:rsid w:val="00EF2AAC"/>
    <w:rsid w:val="00EF6E5C"/>
    <w:rsid w:val="00EF7331"/>
    <w:rsid w:val="00F015FF"/>
    <w:rsid w:val="00F0230F"/>
    <w:rsid w:val="00F025A2"/>
    <w:rsid w:val="00F02CCF"/>
    <w:rsid w:val="00F04712"/>
    <w:rsid w:val="00F073A9"/>
    <w:rsid w:val="00F121EA"/>
    <w:rsid w:val="00F12212"/>
    <w:rsid w:val="00F16795"/>
    <w:rsid w:val="00F170F6"/>
    <w:rsid w:val="00F20437"/>
    <w:rsid w:val="00F20B16"/>
    <w:rsid w:val="00F21311"/>
    <w:rsid w:val="00F21ABF"/>
    <w:rsid w:val="00F2292D"/>
    <w:rsid w:val="00F22EC7"/>
    <w:rsid w:val="00F318A5"/>
    <w:rsid w:val="00F325C8"/>
    <w:rsid w:val="00F33F0F"/>
    <w:rsid w:val="00F35022"/>
    <w:rsid w:val="00F36A0F"/>
    <w:rsid w:val="00F41658"/>
    <w:rsid w:val="00F52113"/>
    <w:rsid w:val="00F532E7"/>
    <w:rsid w:val="00F55B20"/>
    <w:rsid w:val="00F575C7"/>
    <w:rsid w:val="00F60159"/>
    <w:rsid w:val="00F621C8"/>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737D"/>
    <w:rsid w:val="00FC041F"/>
    <w:rsid w:val="00FC1192"/>
    <w:rsid w:val="00FC39AF"/>
    <w:rsid w:val="00FC5B6D"/>
    <w:rsid w:val="00FC61CD"/>
    <w:rsid w:val="00FD246F"/>
    <w:rsid w:val="00FD3792"/>
    <w:rsid w:val="00FD5F68"/>
    <w:rsid w:val="00FE08BE"/>
    <w:rsid w:val="00FE1BCE"/>
    <w:rsid w:val="00FE26DE"/>
    <w:rsid w:val="00FE3BA8"/>
    <w:rsid w:val="00FE458C"/>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00470000aaf646a01ad3ebbc00003"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FC7D7-66C6-4BCA-9AFC-70DD2E19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1535</Words>
  <Characters>8750</Characters>
  <Application>Microsoft Office Word</Application>
  <DocSecurity>0</DocSecurity>
  <Lines>72</Lines>
  <Paragraphs>20</Paragraphs>
  <ScaleCrop>false</ScaleCrop>
  <Manager/>
  <Company>Apple Inc</Company>
  <LinksUpToDate>false</LinksUpToDate>
  <CharactersWithSpaces>10265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12</cp:revision>
  <cp:lastPrinted>2019-02-25T14:05:00Z</cp:lastPrinted>
  <dcterms:created xsi:type="dcterms:W3CDTF">2021-03-27T16:02:00Z</dcterms:created>
  <dcterms:modified xsi:type="dcterms:W3CDTF">2021-04-01T18:24:00Z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